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D66" w:rsidRPr="002F62A5" w:rsidRDefault="00A65D66" w:rsidP="00386657">
      <w:pPr>
        <w:spacing w:line="276" w:lineRule="auto"/>
        <w:jc w:val="center"/>
        <w:rPr>
          <w:rFonts w:ascii="Trebuchet MS" w:hAnsi="Trebuchet MS" w:cs="Arial"/>
          <w:b/>
          <w:snapToGrid w:val="0"/>
          <w:sz w:val="22"/>
          <w:szCs w:val="22"/>
          <w:lang w:val="ro-RO"/>
        </w:rPr>
      </w:pPr>
      <w:bookmarkStart w:id="0" w:name="_GoBack"/>
      <w:bookmarkEnd w:id="0"/>
    </w:p>
    <w:p w:rsidR="00682D39" w:rsidRPr="002F62A5" w:rsidRDefault="00682D39" w:rsidP="00386657">
      <w:pPr>
        <w:spacing w:line="276" w:lineRule="auto"/>
        <w:jc w:val="center"/>
        <w:rPr>
          <w:rFonts w:ascii="Trebuchet MS" w:hAnsi="Trebuchet MS" w:cs="Arial"/>
          <w:b/>
          <w:snapToGrid w:val="0"/>
          <w:sz w:val="22"/>
          <w:szCs w:val="22"/>
          <w:lang w:val="ro-RO"/>
        </w:rPr>
      </w:pPr>
      <w:r w:rsidRPr="002F62A5">
        <w:rPr>
          <w:rFonts w:ascii="Trebuchet MS" w:hAnsi="Trebuchet MS" w:cs="Arial"/>
          <w:b/>
          <w:snapToGrid w:val="0"/>
          <w:sz w:val="22"/>
          <w:szCs w:val="22"/>
          <w:lang w:val="ro-RO"/>
        </w:rPr>
        <w:t>EXPUNERE DE MOTIVE</w:t>
      </w:r>
    </w:p>
    <w:p w:rsidR="00A37674" w:rsidRPr="002F62A5" w:rsidRDefault="00A37674" w:rsidP="00386657">
      <w:pPr>
        <w:spacing w:line="276" w:lineRule="auto"/>
        <w:jc w:val="center"/>
        <w:rPr>
          <w:rFonts w:ascii="Trebuchet MS" w:hAnsi="Trebuchet MS" w:cs="Arial"/>
          <w:b/>
          <w:snapToGrid w:val="0"/>
          <w:sz w:val="22"/>
          <w:szCs w:val="22"/>
          <w:lang w:val="ro-RO"/>
        </w:rPr>
      </w:pPr>
    </w:p>
    <w:p w:rsidR="00682D39" w:rsidRPr="002F62A5" w:rsidRDefault="00682D39" w:rsidP="00386657">
      <w:pPr>
        <w:spacing w:line="276" w:lineRule="auto"/>
        <w:rPr>
          <w:rFonts w:ascii="Trebuchet MS" w:hAnsi="Trebuchet MS" w:cs="Arial"/>
          <w:b/>
          <w:snapToGrid w:val="0"/>
          <w:sz w:val="22"/>
          <w:szCs w:val="22"/>
          <w:lang w:val="ro-RO"/>
        </w:rPr>
      </w:pPr>
    </w:p>
    <w:tbl>
      <w:tblPr>
        <w:tblW w:w="1119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661"/>
        <w:gridCol w:w="1040"/>
        <w:gridCol w:w="1080"/>
        <w:gridCol w:w="1080"/>
        <w:gridCol w:w="1080"/>
        <w:gridCol w:w="1080"/>
        <w:gridCol w:w="1208"/>
      </w:tblGrid>
      <w:tr w:rsidR="008B516A" w:rsidRPr="002F62A5" w:rsidTr="00346997">
        <w:trPr>
          <w:cantSplit/>
          <w:trHeight w:val="950"/>
        </w:trPr>
        <w:tc>
          <w:tcPr>
            <w:tcW w:w="11199" w:type="dxa"/>
            <w:gridSpan w:val="8"/>
          </w:tcPr>
          <w:p w:rsidR="00682D39" w:rsidRPr="002F62A5" w:rsidRDefault="00682D39" w:rsidP="00386657">
            <w:pPr>
              <w:spacing w:line="276" w:lineRule="auto"/>
              <w:jc w:val="center"/>
              <w:rPr>
                <w:rFonts w:ascii="Trebuchet MS" w:hAnsi="Trebuchet MS" w:cs="Arial"/>
                <w:b/>
                <w:snapToGrid w:val="0"/>
                <w:sz w:val="22"/>
                <w:szCs w:val="22"/>
                <w:lang w:val="ro-RO"/>
              </w:rPr>
            </w:pPr>
            <w:r w:rsidRPr="002F62A5">
              <w:rPr>
                <w:rFonts w:ascii="Trebuchet MS" w:hAnsi="Trebuchet MS" w:cs="Arial"/>
                <w:b/>
                <w:snapToGrid w:val="0"/>
                <w:sz w:val="22"/>
                <w:szCs w:val="22"/>
                <w:lang w:val="ro-RO"/>
              </w:rPr>
              <w:t>Secţiunea 1 – Titlul proiectului de act normativ</w:t>
            </w:r>
          </w:p>
          <w:p w:rsidR="00ED5CA9" w:rsidRPr="002F62A5" w:rsidRDefault="00ED5CA9" w:rsidP="00386657">
            <w:pPr>
              <w:spacing w:line="276" w:lineRule="auto"/>
              <w:jc w:val="center"/>
              <w:rPr>
                <w:rFonts w:ascii="Trebuchet MS" w:hAnsi="Trebuchet MS" w:cs="Arial"/>
                <w:b/>
                <w:snapToGrid w:val="0"/>
                <w:sz w:val="22"/>
                <w:szCs w:val="22"/>
                <w:lang w:val="ro-RO"/>
              </w:rPr>
            </w:pPr>
          </w:p>
          <w:p w:rsidR="00ED5CA9" w:rsidRPr="002F62A5" w:rsidRDefault="00ED5CA9" w:rsidP="00386657">
            <w:pPr>
              <w:spacing w:line="276" w:lineRule="auto"/>
              <w:ind w:firstLine="567"/>
              <w:jc w:val="center"/>
              <w:rPr>
                <w:rFonts w:ascii="Trebuchet MS" w:hAnsi="Trebuchet MS"/>
                <w:b/>
                <w:bCs/>
                <w:sz w:val="22"/>
                <w:szCs w:val="22"/>
                <w:lang w:val="ro-RO"/>
              </w:rPr>
            </w:pPr>
            <w:r w:rsidRPr="002F62A5">
              <w:rPr>
                <w:rFonts w:ascii="Trebuchet MS" w:hAnsi="Trebuchet MS"/>
                <w:b/>
                <w:bCs/>
                <w:sz w:val="22"/>
                <w:szCs w:val="22"/>
                <w:lang w:val="ro-RO"/>
              </w:rPr>
              <w:t>Lege</w:t>
            </w:r>
          </w:p>
          <w:p w:rsidR="004040DA" w:rsidRPr="002F62A5" w:rsidRDefault="00EB0E99" w:rsidP="00386657">
            <w:pPr>
              <w:spacing w:line="276" w:lineRule="auto"/>
              <w:ind w:firstLine="567"/>
              <w:jc w:val="center"/>
              <w:rPr>
                <w:rFonts w:ascii="Trebuchet MS" w:hAnsi="Trebuchet MS"/>
                <w:b/>
                <w:sz w:val="22"/>
                <w:szCs w:val="22"/>
                <w:lang w:val="ro-RO"/>
              </w:rPr>
            </w:pPr>
            <w:r w:rsidRPr="002F62A5">
              <w:rPr>
                <w:rFonts w:ascii="Trebuchet MS" w:hAnsi="Trebuchet MS"/>
                <w:b/>
                <w:bCs/>
                <w:sz w:val="22"/>
                <w:szCs w:val="22"/>
                <w:lang w:val="ro-RO"/>
              </w:rPr>
              <w:t>privind statutul magistraţilor din România</w:t>
            </w:r>
          </w:p>
          <w:p w:rsidR="00A65D66" w:rsidRPr="002F62A5" w:rsidRDefault="00A65D66" w:rsidP="00386657">
            <w:pPr>
              <w:spacing w:line="276" w:lineRule="auto"/>
              <w:ind w:firstLine="567"/>
              <w:jc w:val="center"/>
              <w:rPr>
                <w:rFonts w:ascii="Trebuchet MS" w:hAnsi="Trebuchet MS"/>
                <w:b/>
                <w:sz w:val="22"/>
                <w:szCs w:val="22"/>
                <w:lang w:val="ro-RO"/>
              </w:rPr>
            </w:pPr>
          </w:p>
        </w:tc>
      </w:tr>
      <w:tr w:rsidR="008B516A" w:rsidRPr="002F62A5" w:rsidTr="00346997">
        <w:trPr>
          <w:cantSplit/>
          <w:trHeight w:val="468"/>
        </w:trPr>
        <w:tc>
          <w:tcPr>
            <w:tcW w:w="11199" w:type="dxa"/>
            <w:gridSpan w:val="8"/>
          </w:tcPr>
          <w:p w:rsidR="00A65D66" w:rsidRPr="002F62A5" w:rsidRDefault="00A65D66" w:rsidP="00386657">
            <w:pPr>
              <w:spacing w:line="276" w:lineRule="auto"/>
              <w:rPr>
                <w:rFonts w:ascii="Trebuchet MS" w:hAnsi="Trebuchet MS" w:cs="Arial"/>
                <w:b/>
                <w:snapToGrid w:val="0"/>
                <w:sz w:val="22"/>
                <w:szCs w:val="22"/>
                <w:lang w:val="ro-RO"/>
              </w:rPr>
            </w:pPr>
          </w:p>
          <w:p w:rsidR="00682D39" w:rsidRPr="002F62A5" w:rsidRDefault="00682D39" w:rsidP="00386657">
            <w:pPr>
              <w:spacing w:line="276" w:lineRule="auto"/>
              <w:rPr>
                <w:rFonts w:ascii="Trebuchet MS" w:hAnsi="Trebuchet MS" w:cs="Arial"/>
                <w:b/>
                <w:snapToGrid w:val="0"/>
                <w:sz w:val="22"/>
                <w:szCs w:val="22"/>
                <w:lang w:val="ro-RO"/>
              </w:rPr>
            </w:pPr>
            <w:r w:rsidRPr="002F62A5">
              <w:rPr>
                <w:rFonts w:ascii="Trebuchet MS" w:hAnsi="Trebuchet MS" w:cs="Arial"/>
                <w:b/>
                <w:snapToGrid w:val="0"/>
                <w:sz w:val="22"/>
                <w:szCs w:val="22"/>
                <w:lang w:val="ro-RO"/>
              </w:rPr>
              <w:t>Secţiunea a 2-a – Motivul emiterii actului normativ</w:t>
            </w:r>
          </w:p>
        </w:tc>
      </w:tr>
      <w:tr w:rsidR="008B516A" w:rsidRPr="002F62A5" w:rsidTr="00346997">
        <w:tc>
          <w:tcPr>
            <w:tcW w:w="3970" w:type="dxa"/>
            <w:tcBorders>
              <w:right w:val="single" w:sz="4" w:space="0" w:color="auto"/>
            </w:tcBorders>
          </w:tcPr>
          <w:p w:rsidR="00682D39" w:rsidRPr="002F62A5" w:rsidRDefault="00682D39" w:rsidP="00386657">
            <w:pPr>
              <w:spacing w:line="276" w:lineRule="auto"/>
              <w:rPr>
                <w:rFonts w:ascii="Trebuchet MS" w:hAnsi="Trebuchet MS" w:cs="Arial"/>
                <w:snapToGrid w:val="0"/>
                <w:sz w:val="22"/>
                <w:szCs w:val="22"/>
                <w:lang w:val="ro-RO"/>
              </w:rPr>
            </w:pPr>
            <w:r w:rsidRPr="002F62A5">
              <w:rPr>
                <w:rFonts w:ascii="Trebuchet MS" w:hAnsi="Trebuchet MS" w:cs="Arial"/>
                <w:snapToGrid w:val="0"/>
                <w:sz w:val="22"/>
                <w:szCs w:val="22"/>
                <w:lang w:val="ro-RO"/>
              </w:rPr>
              <w:t xml:space="preserve">1. Descrierea situaţiei actuale </w:t>
            </w:r>
          </w:p>
        </w:tc>
        <w:tc>
          <w:tcPr>
            <w:tcW w:w="7229" w:type="dxa"/>
            <w:gridSpan w:val="7"/>
            <w:tcBorders>
              <w:top w:val="single" w:sz="4" w:space="0" w:color="auto"/>
              <w:left w:val="single" w:sz="4" w:space="0" w:color="auto"/>
              <w:bottom w:val="single" w:sz="4" w:space="0" w:color="auto"/>
              <w:right w:val="single" w:sz="4" w:space="0" w:color="auto"/>
            </w:tcBorders>
          </w:tcPr>
          <w:p w:rsidR="00682D39" w:rsidRPr="002F62A5" w:rsidRDefault="005263C5" w:rsidP="00386657">
            <w:pPr>
              <w:autoSpaceDE w:val="0"/>
              <w:autoSpaceDN w:val="0"/>
              <w:adjustRightInd w:val="0"/>
              <w:spacing w:line="276" w:lineRule="auto"/>
              <w:jc w:val="both"/>
              <w:rPr>
                <w:rFonts w:ascii="Trebuchet MS" w:hAnsi="Trebuchet MS" w:cs="Arial"/>
                <w:sz w:val="22"/>
                <w:szCs w:val="22"/>
                <w:lang w:val="ro-RO"/>
              </w:rPr>
            </w:pPr>
            <w:r w:rsidRPr="002F62A5">
              <w:rPr>
                <w:rFonts w:ascii="Trebuchet MS" w:hAnsi="Trebuchet MS" w:cs="Arial"/>
                <w:b/>
                <w:sz w:val="22"/>
                <w:szCs w:val="22"/>
                <w:lang w:val="ro-RO"/>
              </w:rPr>
              <w:t xml:space="preserve">     </w:t>
            </w:r>
            <w:r w:rsidRPr="002F62A5">
              <w:rPr>
                <w:rFonts w:ascii="Trebuchet MS" w:hAnsi="Trebuchet MS" w:cs="Arial"/>
                <w:sz w:val="22"/>
                <w:szCs w:val="22"/>
                <w:lang w:val="ro-RO"/>
              </w:rPr>
              <w:t xml:space="preserve">Cadrul normativ actual care reglementează statutul magistraților în România este reprezentat de Legea nr. 303/2004 privind statutul judecătorilor și procurorilor, republicată, cu modificările și completările ulterioare. </w:t>
            </w:r>
            <w:r w:rsidR="00EB0E99" w:rsidRPr="002F62A5">
              <w:rPr>
                <w:rFonts w:ascii="Trebuchet MS" w:hAnsi="Trebuchet MS" w:cs="Arial"/>
                <w:sz w:val="22"/>
                <w:szCs w:val="22"/>
                <w:lang w:val="ro-RO"/>
              </w:rPr>
              <w:t>Această lege a suferit, de la adoptare până în pre</w:t>
            </w:r>
            <w:r w:rsidR="00C13BD0" w:rsidRPr="002F62A5">
              <w:rPr>
                <w:rFonts w:ascii="Trebuchet MS" w:hAnsi="Trebuchet MS" w:cs="Arial"/>
                <w:sz w:val="22"/>
                <w:szCs w:val="22"/>
                <w:lang w:val="ro-RO"/>
              </w:rPr>
              <w:t>z</w:t>
            </w:r>
            <w:r w:rsidR="00EB0E99" w:rsidRPr="002F62A5">
              <w:rPr>
                <w:rFonts w:ascii="Trebuchet MS" w:hAnsi="Trebuchet MS" w:cs="Arial"/>
                <w:sz w:val="22"/>
                <w:szCs w:val="22"/>
                <w:lang w:val="ro-RO"/>
              </w:rPr>
              <w:t xml:space="preserve">ent, numeroase modificări şi completări care, fie au </w:t>
            </w:r>
            <w:r w:rsidR="008D2BA0" w:rsidRPr="002F62A5">
              <w:rPr>
                <w:rFonts w:ascii="Trebuchet MS" w:hAnsi="Trebuchet MS" w:cs="Arial"/>
                <w:sz w:val="22"/>
                <w:szCs w:val="22"/>
                <w:lang w:val="ro-RO"/>
              </w:rPr>
              <w:t>creat disfuncţionalităţi ale sistemului, fie neclarităţi în aspect</w:t>
            </w:r>
            <w:r w:rsidR="00C13BD0" w:rsidRPr="002F62A5">
              <w:rPr>
                <w:rFonts w:ascii="Trebuchet MS" w:hAnsi="Trebuchet MS" w:cs="Arial"/>
                <w:sz w:val="22"/>
                <w:szCs w:val="22"/>
                <w:lang w:val="ro-RO"/>
              </w:rPr>
              <w:t>e</w:t>
            </w:r>
            <w:r w:rsidR="008D2BA0" w:rsidRPr="002F62A5">
              <w:rPr>
                <w:rFonts w:ascii="Trebuchet MS" w:hAnsi="Trebuchet MS" w:cs="Arial"/>
                <w:sz w:val="22"/>
                <w:szCs w:val="22"/>
                <w:lang w:val="ro-RO"/>
              </w:rPr>
              <w:t xml:space="preserve"> esenţiale care privesc sistemul judiciar, </w:t>
            </w:r>
            <w:r w:rsidR="00FE7D63" w:rsidRPr="002F62A5">
              <w:rPr>
                <w:rFonts w:ascii="Trebuchet MS" w:hAnsi="Trebuchet MS" w:cs="Arial"/>
                <w:sz w:val="22"/>
                <w:szCs w:val="22"/>
                <w:lang w:val="ro-RO"/>
              </w:rPr>
              <w:t>respectiv cu privi</w:t>
            </w:r>
            <w:r w:rsidR="00790D85" w:rsidRPr="002F62A5">
              <w:rPr>
                <w:rFonts w:ascii="Trebuchet MS" w:hAnsi="Trebuchet MS" w:cs="Arial"/>
                <w:sz w:val="22"/>
                <w:szCs w:val="22"/>
                <w:lang w:val="ro-RO"/>
              </w:rPr>
              <w:t>re</w:t>
            </w:r>
            <w:r w:rsidR="00FE7D63" w:rsidRPr="002F62A5">
              <w:rPr>
                <w:rFonts w:ascii="Trebuchet MS" w:hAnsi="Trebuchet MS" w:cs="Arial"/>
                <w:sz w:val="22"/>
                <w:szCs w:val="22"/>
                <w:lang w:val="ro-RO"/>
              </w:rPr>
              <w:t xml:space="preserve"> la</w:t>
            </w:r>
            <w:r w:rsidR="008D2BA0" w:rsidRPr="002F62A5">
              <w:rPr>
                <w:rFonts w:ascii="Trebuchet MS" w:hAnsi="Trebuchet MS" w:cs="Arial"/>
                <w:sz w:val="22"/>
                <w:szCs w:val="22"/>
                <w:lang w:val="ro-RO"/>
              </w:rPr>
              <w:t xml:space="preserve"> statutul şi cariera magistraţilor.</w:t>
            </w:r>
            <w:r w:rsidR="00FE7D63" w:rsidRPr="002F62A5">
              <w:rPr>
                <w:rFonts w:ascii="Trebuchet MS" w:hAnsi="Trebuchet MS" w:cs="Arial"/>
                <w:sz w:val="22"/>
                <w:szCs w:val="22"/>
                <w:lang w:val="ro-RO"/>
              </w:rPr>
              <w:t xml:space="preserve"> De asemenea, în an</w:t>
            </w:r>
            <w:r w:rsidR="00C011F1" w:rsidRPr="002F62A5">
              <w:rPr>
                <w:rFonts w:ascii="Trebuchet MS" w:hAnsi="Trebuchet MS" w:cs="Arial"/>
                <w:sz w:val="22"/>
                <w:szCs w:val="22"/>
                <w:lang w:val="ro-RO"/>
              </w:rPr>
              <w:t>ii</w:t>
            </w:r>
            <w:r w:rsidR="00FE7D63" w:rsidRPr="002F62A5">
              <w:rPr>
                <w:rFonts w:ascii="Trebuchet MS" w:hAnsi="Trebuchet MS" w:cs="Arial"/>
                <w:sz w:val="22"/>
                <w:szCs w:val="22"/>
                <w:lang w:val="ro-RO"/>
              </w:rPr>
              <w:t xml:space="preserve"> 2018</w:t>
            </w:r>
            <w:r w:rsidR="009D6535" w:rsidRPr="002F62A5">
              <w:rPr>
                <w:rFonts w:ascii="Trebuchet MS" w:hAnsi="Trebuchet MS" w:cs="Arial"/>
                <w:sz w:val="22"/>
                <w:szCs w:val="22"/>
                <w:lang w:val="ro-RO"/>
              </w:rPr>
              <w:t xml:space="preserve"> şi 2019</w:t>
            </w:r>
            <w:r w:rsidR="00FE7D63" w:rsidRPr="002F62A5">
              <w:rPr>
                <w:rFonts w:ascii="Trebuchet MS" w:hAnsi="Trebuchet MS" w:cs="Arial"/>
                <w:sz w:val="22"/>
                <w:szCs w:val="22"/>
                <w:lang w:val="ro-RO"/>
              </w:rPr>
              <w:t xml:space="preserve">, această lege a suferit </w:t>
            </w:r>
            <w:r w:rsidR="00136CF2" w:rsidRPr="002F62A5">
              <w:rPr>
                <w:rFonts w:ascii="Trebuchet MS" w:hAnsi="Trebuchet MS" w:cs="Arial"/>
                <w:sz w:val="22"/>
                <w:szCs w:val="22"/>
                <w:lang w:val="ro-RO"/>
              </w:rPr>
              <w:t>numeroase</w:t>
            </w:r>
            <w:r w:rsidR="00FE7D63" w:rsidRPr="002F62A5">
              <w:rPr>
                <w:rFonts w:ascii="Trebuchet MS" w:hAnsi="Trebuchet MS" w:cs="Arial"/>
                <w:sz w:val="22"/>
                <w:szCs w:val="22"/>
                <w:lang w:val="ro-RO"/>
              </w:rPr>
              <w:t xml:space="preserve"> modificări</w:t>
            </w:r>
            <w:r w:rsidR="00831D7F" w:rsidRPr="002F62A5">
              <w:rPr>
                <w:rFonts w:ascii="Trebuchet MS" w:hAnsi="Trebuchet MS" w:cs="Arial"/>
                <w:sz w:val="22"/>
                <w:szCs w:val="22"/>
                <w:lang w:val="ro-RO"/>
              </w:rPr>
              <w:t xml:space="preserve"> (</w:t>
            </w:r>
            <w:r w:rsidR="00C011F1" w:rsidRPr="002F62A5">
              <w:rPr>
                <w:rFonts w:ascii="Trebuchet MS" w:hAnsi="Trebuchet MS" w:cs="Arial"/>
                <w:sz w:val="22"/>
                <w:szCs w:val="22"/>
                <w:lang w:val="ro-RO"/>
              </w:rPr>
              <w:t>instituite</w:t>
            </w:r>
            <w:r w:rsidR="00831D7F" w:rsidRPr="002F62A5">
              <w:rPr>
                <w:rFonts w:ascii="Trebuchet MS" w:hAnsi="Trebuchet MS" w:cs="Arial"/>
                <w:sz w:val="22"/>
                <w:szCs w:val="22"/>
                <w:lang w:val="ro-RO"/>
              </w:rPr>
              <w:t xml:space="preserve"> atât p</w:t>
            </w:r>
            <w:r w:rsidR="00C011F1" w:rsidRPr="002F62A5">
              <w:rPr>
                <w:rFonts w:ascii="Trebuchet MS" w:hAnsi="Trebuchet MS" w:cs="Arial"/>
                <w:sz w:val="22"/>
                <w:szCs w:val="22"/>
                <w:lang w:val="ro-RO"/>
              </w:rPr>
              <w:t>r</w:t>
            </w:r>
            <w:r w:rsidR="00831D7F" w:rsidRPr="002F62A5">
              <w:rPr>
                <w:rFonts w:ascii="Trebuchet MS" w:hAnsi="Trebuchet MS" w:cs="Arial"/>
                <w:sz w:val="22"/>
                <w:szCs w:val="22"/>
                <w:lang w:val="ro-RO"/>
              </w:rPr>
              <w:t>in Legea nr. 242/2018, cât şi prin ordonanţe de urgenţă ale G</w:t>
            </w:r>
            <w:r w:rsidR="00C011F1" w:rsidRPr="002F62A5">
              <w:rPr>
                <w:rFonts w:ascii="Trebuchet MS" w:hAnsi="Trebuchet MS" w:cs="Arial"/>
                <w:sz w:val="22"/>
                <w:szCs w:val="22"/>
                <w:lang w:val="ro-RO"/>
              </w:rPr>
              <w:t>u</w:t>
            </w:r>
            <w:r w:rsidR="00831D7F" w:rsidRPr="002F62A5">
              <w:rPr>
                <w:rFonts w:ascii="Trebuchet MS" w:hAnsi="Trebuchet MS" w:cs="Arial"/>
                <w:sz w:val="22"/>
                <w:szCs w:val="22"/>
                <w:lang w:val="ro-RO"/>
              </w:rPr>
              <w:t>vernului)</w:t>
            </w:r>
            <w:r w:rsidR="00FE7D63" w:rsidRPr="002F62A5">
              <w:rPr>
                <w:rFonts w:ascii="Trebuchet MS" w:hAnsi="Trebuchet MS" w:cs="Arial"/>
                <w:sz w:val="22"/>
                <w:szCs w:val="22"/>
                <w:lang w:val="ro-RO"/>
              </w:rPr>
              <w:t xml:space="preserve"> criticate atât de asociaţii ale magistraţilor şi de societatea civilă, cât şi de organismele europene pe motiv că aduc atingere independenţei justiţiei</w:t>
            </w:r>
            <w:r w:rsidR="00710056" w:rsidRPr="002F62A5">
              <w:rPr>
                <w:rFonts w:ascii="Trebuchet MS" w:hAnsi="Trebuchet MS" w:cs="Arial"/>
                <w:sz w:val="22"/>
                <w:szCs w:val="22"/>
                <w:lang w:val="ro-RO"/>
              </w:rPr>
              <w:t xml:space="preserve"> şi că nu au respectat principiile de transparenţă privind adoptarea actelor normative ori nu au fost dezbătute </w:t>
            </w:r>
            <w:r w:rsidR="00D807A3" w:rsidRPr="002F62A5">
              <w:rPr>
                <w:rFonts w:ascii="Trebuchet MS" w:hAnsi="Trebuchet MS" w:cs="Arial"/>
                <w:sz w:val="22"/>
                <w:szCs w:val="22"/>
                <w:lang w:val="ro-RO"/>
              </w:rPr>
              <w:t xml:space="preserve">la nivelul sistemului judiciar, </w:t>
            </w:r>
            <w:r w:rsidR="00710056" w:rsidRPr="002F62A5">
              <w:rPr>
                <w:rFonts w:ascii="Trebuchet MS" w:hAnsi="Trebuchet MS" w:cs="Arial"/>
                <w:sz w:val="22"/>
                <w:szCs w:val="22"/>
                <w:lang w:val="ro-RO"/>
              </w:rPr>
              <w:t xml:space="preserve">într-un cadru larg </w:t>
            </w:r>
            <w:r w:rsidR="00D807A3" w:rsidRPr="002F62A5">
              <w:rPr>
                <w:rFonts w:ascii="Trebuchet MS" w:hAnsi="Trebuchet MS" w:cs="Arial"/>
                <w:sz w:val="22"/>
                <w:szCs w:val="22"/>
                <w:lang w:val="ro-RO"/>
              </w:rPr>
              <w:t>ori</w:t>
            </w:r>
            <w:r w:rsidR="00710056" w:rsidRPr="002F62A5">
              <w:rPr>
                <w:rFonts w:ascii="Trebuchet MS" w:hAnsi="Trebuchet MS" w:cs="Arial"/>
                <w:sz w:val="22"/>
                <w:szCs w:val="22"/>
                <w:lang w:val="ro-RO"/>
              </w:rPr>
              <w:t xml:space="preserve"> pentru o perioadă suficient de </w:t>
            </w:r>
            <w:r w:rsidR="00D807A3" w:rsidRPr="002F62A5">
              <w:rPr>
                <w:rFonts w:ascii="Trebuchet MS" w:hAnsi="Trebuchet MS" w:cs="Arial"/>
                <w:sz w:val="22"/>
                <w:szCs w:val="22"/>
                <w:lang w:val="ro-RO"/>
              </w:rPr>
              <w:t>lungă</w:t>
            </w:r>
            <w:r w:rsidR="00136CF2" w:rsidRPr="002F62A5">
              <w:rPr>
                <w:rFonts w:ascii="Trebuchet MS" w:hAnsi="Trebuchet MS" w:cs="Arial"/>
                <w:sz w:val="22"/>
                <w:szCs w:val="22"/>
                <w:lang w:val="ro-RO"/>
              </w:rPr>
              <w:t xml:space="preserve"> de timp</w:t>
            </w:r>
            <w:r w:rsidR="00D807A3" w:rsidRPr="002F62A5">
              <w:rPr>
                <w:rFonts w:ascii="Trebuchet MS" w:hAnsi="Trebuchet MS" w:cs="Arial"/>
                <w:sz w:val="22"/>
                <w:szCs w:val="22"/>
                <w:lang w:val="ro-RO"/>
              </w:rPr>
              <w:t xml:space="preserve">. </w:t>
            </w:r>
            <w:r w:rsidR="00710056" w:rsidRPr="002F62A5">
              <w:rPr>
                <w:rFonts w:ascii="Trebuchet MS" w:hAnsi="Trebuchet MS" w:cs="Arial"/>
                <w:sz w:val="22"/>
                <w:szCs w:val="22"/>
                <w:lang w:val="ro-RO"/>
              </w:rPr>
              <w:t xml:space="preserve"> </w:t>
            </w:r>
          </w:p>
          <w:p w:rsidR="00871B70" w:rsidRPr="002F62A5" w:rsidRDefault="00871B70" w:rsidP="00386657">
            <w:pPr>
              <w:autoSpaceDE w:val="0"/>
              <w:autoSpaceDN w:val="0"/>
              <w:adjustRightInd w:val="0"/>
              <w:spacing w:line="276" w:lineRule="auto"/>
              <w:jc w:val="both"/>
              <w:rPr>
                <w:rFonts w:ascii="Trebuchet MS" w:hAnsi="Trebuchet MS" w:cs="Arial"/>
                <w:sz w:val="22"/>
                <w:szCs w:val="22"/>
                <w:lang w:val="ro-RO"/>
              </w:rPr>
            </w:pPr>
          </w:p>
          <w:p w:rsidR="00DC4036" w:rsidRPr="002F62A5" w:rsidRDefault="002957E2" w:rsidP="00386657">
            <w:pPr>
              <w:autoSpaceDE w:val="0"/>
              <w:autoSpaceDN w:val="0"/>
              <w:adjustRightInd w:val="0"/>
              <w:spacing w:line="276" w:lineRule="auto"/>
              <w:jc w:val="both"/>
              <w:rPr>
                <w:rFonts w:ascii="Trebuchet MS" w:hAnsi="Trebuchet MS" w:cs="Arial"/>
                <w:sz w:val="22"/>
                <w:szCs w:val="22"/>
                <w:lang w:val="ro-RO"/>
              </w:rPr>
            </w:pPr>
            <w:r w:rsidRPr="002F62A5">
              <w:rPr>
                <w:rFonts w:ascii="Trebuchet MS" w:hAnsi="Trebuchet MS" w:cs="Arial"/>
                <w:sz w:val="22"/>
                <w:szCs w:val="22"/>
                <w:lang w:val="ro-RO"/>
              </w:rPr>
              <w:t xml:space="preserve">Intervenţia legislativă cuprinsă </w:t>
            </w:r>
            <w:r w:rsidR="00C34EC9" w:rsidRPr="002F62A5">
              <w:rPr>
                <w:rFonts w:ascii="Trebuchet MS" w:hAnsi="Trebuchet MS" w:cs="Arial"/>
                <w:sz w:val="22"/>
                <w:szCs w:val="22"/>
                <w:lang w:val="ro-RO"/>
              </w:rPr>
              <w:t>î</w:t>
            </w:r>
            <w:r w:rsidRPr="002F62A5">
              <w:rPr>
                <w:rFonts w:ascii="Trebuchet MS" w:hAnsi="Trebuchet MS" w:cs="Arial"/>
                <w:sz w:val="22"/>
                <w:szCs w:val="22"/>
                <w:lang w:val="ro-RO"/>
              </w:rPr>
              <w:t xml:space="preserve">n prezentul proiect se </w:t>
            </w:r>
            <w:r w:rsidR="00C13BD0" w:rsidRPr="002F62A5">
              <w:rPr>
                <w:rFonts w:ascii="Trebuchet MS" w:hAnsi="Trebuchet MS" w:cs="Arial"/>
                <w:sz w:val="22"/>
                <w:szCs w:val="22"/>
                <w:lang w:val="ro-RO"/>
              </w:rPr>
              <w:t>a</w:t>
            </w:r>
            <w:r w:rsidRPr="002F62A5">
              <w:rPr>
                <w:rFonts w:ascii="Trebuchet MS" w:hAnsi="Trebuchet MS" w:cs="Arial"/>
                <w:sz w:val="22"/>
                <w:szCs w:val="22"/>
                <w:lang w:val="ro-RO"/>
              </w:rPr>
              <w:t xml:space="preserve">xează pe </w:t>
            </w:r>
            <w:r w:rsidR="00871B70" w:rsidRPr="002F62A5">
              <w:rPr>
                <w:rFonts w:ascii="Trebuchet MS" w:hAnsi="Trebuchet MS" w:cs="Arial"/>
                <w:sz w:val="22"/>
                <w:szCs w:val="22"/>
                <w:lang w:val="ro-RO"/>
              </w:rPr>
              <w:t>patru</w:t>
            </w:r>
            <w:r w:rsidRPr="002F62A5">
              <w:rPr>
                <w:rFonts w:ascii="Trebuchet MS" w:hAnsi="Trebuchet MS" w:cs="Arial"/>
                <w:sz w:val="22"/>
                <w:szCs w:val="22"/>
                <w:lang w:val="ro-RO"/>
              </w:rPr>
              <w:t xml:space="preserve"> dimensiuni principale:</w:t>
            </w:r>
          </w:p>
          <w:p w:rsidR="00C34EC9" w:rsidRPr="002F62A5" w:rsidRDefault="00C34EC9" w:rsidP="00386657">
            <w:pPr>
              <w:autoSpaceDE w:val="0"/>
              <w:autoSpaceDN w:val="0"/>
              <w:adjustRightInd w:val="0"/>
              <w:spacing w:line="276" w:lineRule="auto"/>
              <w:jc w:val="both"/>
              <w:rPr>
                <w:rFonts w:ascii="Trebuchet MS" w:hAnsi="Trebuchet MS" w:cs="Arial"/>
                <w:sz w:val="22"/>
                <w:szCs w:val="22"/>
                <w:lang w:val="ro-RO"/>
              </w:rPr>
            </w:pPr>
          </w:p>
          <w:p w:rsidR="0088413E" w:rsidRPr="002F62A5" w:rsidRDefault="002957E2" w:rsidP="00386657">
            <w:pPr>
              <w:pStyle w:val="ListParagraph"/>
              <w:numPr>
                <w:ilvl w:val="0"/>
                <w:numId w:val="14"/>
              </w:numPr>
              <w:autoSpaceDE w:val="0"/>
              <w:autoSpaceDN w:val="0"/>
              <w:adjustRightInd w:val="0"/>
              <w:spacing w:after="0" w:afterAutospacing="0" w:line="276" w:lineRule="auto"/>
              <w:ind w:left="0" w:firstLine="0"/>
              <w:jc w:val="both"/>
              <w:rPr>
                <w:rFonts w:ascii="Trebuchet MS" w:hAnsi="Trebuchet MS" w:cs="Arial"/>
                <w:lang w:val="ro-RO"/>
              </w:rPr>
            </w:pPr>
            <w:r w:rsidRPr="002F62A5">
              <w:rPr>
                <w:rFonts w:ascii="Trebuchet MS" w:hAnsi="Trebuchet MS" w:cs="Arial"/>
                <w:b/>
                <w:lang w:val="ro-RO"/>
              </w:rPr>
              <w:t xml:space="preserve">Revenirea la </w:t>
            </w:r>
            <w:r w:rsidR="00151C47" w:rsidRPr="002F62A5">
              <w:rPr>
                <w:rFonts w:ascii="Trebuchet MS" w:hAnsi="Trebuchet MS" w:cs="Arial"/>
                <w:b/>
                <w:lang w:val="ro-RO"/>
              </w:rPr>
              <w:t>conceptul de magistratură unică</w:t>
            </w:r>
            <w:r w:rsidR="00743484" w:rsidRPr="002F62A5">
              <w:rPr>
                <w:rFonts w:ascii="Trebuchet MS" w:hAnsi="Trebuchet MS" w:cs="Arial"/>
                <w:b/>
                <w:lang w:val="ro-RO"/>
              </w:rPr>
              <w:t xml:space="preserve"> (inclusiv sub aspectul denumirii)</w:t>
            </w:r>
            <w:r w:rsidR="00151C47" w:rsidRPr="002F62A5">
              <w:rPr>
                <w:rFonts w:ascii="Trebuchet MS" w:hAnsi="Trebuchet MS" w:cs="Arial"/>
                <w:b/>
                <w:lang w:val="ro-RO"/>
              </w:rPr>
              <w:t xml:space="preserve"> şi atenuarea principiu</w:t>
            </w:r>
            <w:r w:rsidR="00FE7D63" w:rsidRPr="002F62A5">
              <w:rPr>
                <w:rFonts w:ascii="Trebuchet MS" w:hAnsi="Trebuchet MS" w:cs="Arial"/>
                <w:b/>
                <w:lang w:val="ro-RO"/>
              </w:rPr>
              <w:t>lui</w:t>
            </w:r>
            <w:r w:rsidR="00151C47" w:rsidRPr="002F62A5">
              <w:rPr>
                <w:rFonts w:ascii="Trebuchet MS" w:hAnsi="Trebuchet MS" w:cs="Arial"/>
                <w:b/>
                <w:lang w:val="ro-RO"/>
              </w:rPr>
              <w:t xml:space="preserve"> “separ</w:t>
            </w:r>
            <w:r w:rsidR="00FE7D63" w:rsidRPr="002F62A5">
              <w:rPr>
                <w:rFonts w:ascii="Trebuchet MS" w:hAnsi="Trebuchet MS" w:cs="Arial"/>
                <w:b/>
                <w:lang w:val="ro-RO"/>
              </w:rPr>
              <w:t>ării</w:t>
            </w:r>
            <w:r w:rsidR="00151C47" w:rsidRPr="002F62A5">
              <w:rPr>
                <w:rFonts w:ascii="Trebuchet MS" w:hAnsi="Trebuchet MS" w:cs="Arial"/>
                <w:b/>
                <w:lang w:val="ro-RO"/>
              </w:rPr>
              <w:t xml:space="preserve"> carierelor” între judecători şi procurori</w:t>
            </w:r>
            <w:r w:rsidR="00151C47" w:rsidRPr="002F62A5">
              <w:rPr>
                <w:rFonts w:ascii="Trebuchet MS" w:hAnsi="Trebuchet MS" w:cs="Arial"/>
                <w:lang w:val="ro-RO"/>
              </w:rPr>
              <w:t xml:space="preserve"> care nu este prevăzut de Constituţia României. Astfel, </w:t>
            </w:r>
            <w:r w:rsidR="00726653" w:rsidRPr="002F62A5">
              <w:rPr>
                <w:rFonts w:ascii="Trebuchet MS" w:hAnsi="Trebuchet MS" w:cs="Arial"/>
                <w:lang w:val="ro-RO"/>
              </w:rPr>
              <w:t>legea în vigoare instituie încă de la primul articol, definiţia magistraturii, ca principiu de bază al reglementării în domeniu, ce semnifică “unicitatea” magistraturii, specifică atât judecătorilor, cât şi procurorilor. Acest principiu este însă contrazis prin întreaga reglementare a statutului magistraţilor şi  prin concepţia generală a legii în vigoare care este</w:t>
            </w:r>
            <w:r w:rsidR="00151C47" w:rsidRPr="002F62A5">
              <w:rPr>
                <w:rFonts w:ascii="Trebuchet MS" w:hAnsi="Trebuchet MS" w:cs="Arial"/>
                <w:lang w:val="ro-RO"/>
              </w:rPr>
              <w:t xml:space="preserve"> în sensul unei sepa</w:t>
            </w:r>
            <w:r w:rsidR="00726653" w:rsidRPr="002F62A5">
              <w:rPr>
                <w:rFonts w:ascii="Trebuchet MS" w:hAnsi="Trebuchet MS" w:cs="Arial"/>
                <w:lang w:val="ro-RO"/>
              </w:rPr>
              <w:t>r</w:t>
            </w:r>
            <w:r w:rsidR="00151C47" w:rsidRPr="002F62A5">
              <w:rPr>
                <w:rFonts w:ascii="Trebuchet MS" w:hAnsi="Trebuchet MS" w:cs="Arial"/>
                <w:lang w:val="ro-RO"/>
              </w:rPr>
              <w:t xml:space="preserve">ări totale </w:t>
            </w:r>
            <w:r w:rsidR="00726653" w:rsidRPr="002F62A5">
              <w:rPr>
                <w:rFonts w:ascii="Trebuchet MS" w:hAnsi="Trebuchet MS" w:cs="Arial"/>
                <w:lang w:val="ro-RO"/>
              </w:rPr>
              <w:t>a carierei judecătorilor de cariera procurorilor.</w:t>
            </w:r>
          </w:p>
          <w:p w:rsidR="00F74624" w:rsidRPr="002F62A5" w:rsidRDefault="00726653" w:rsidP="00386657">
            <w:pPr>
              <w:pStyle w:val="ListParagraph"/>
              <w:autoSpaceDE w:val="0"/>
              <w:autoSpaceDN w:val="0"/>
              <w:adjustRightInd w:val="0"/>
              <w:spacing w:after="0" w:afterAutospacing="0" w:line="276" w:lineRule="auto"/>
              <w:ind w:left="0"/>
              <w:jc w:val="both"/>
              <w:rPr>
                <w:rFonts w:ascii="Trebuchet MS" w:hAnsi="Trebuchet MS" w:cs="Arial"/>
                <w:lang w:val="ro-RO"/>
              </w:rPr>
            </w:pPr>
            <w:r w:rsidRPr="002F62A5">
              <w:rPr>
                <w:rFonts w:ascii="Trebuchet MS" w:hAnsi="Trebuchet MS" w:cs="Arial"/>
                <w:lang w:val="ro-RO"/>
              </w:rPr>
              <w:t>Or, potrivit Constituţiei României, Consiliul Superior al Magistraturii este garantul independenţei justiţiei şi este alcătuit din 19 membri: 14 aleşi în adunările generale ale magistraţilor, 2 reprezentanţi ai societăţii civile, ministrul justiţiei, preşedintele Înaltei Curţi de Casaţie şi Justiţie</w:t>
            </w:r>
            <w:r w:rsidR="006D0B2A" w:rsidRPr="002F62A5">
              <w:rPr>
                <w:rFonts w:ascii="Trebuchet MS" w:hAnsi="Trebuchet MS" w:cs="Arial"/>
                <w:lang w:val="ro-RO"/>
              </w:rPr>
              <w:t>şi</w:t>
            </w:r>
            <w:r w:rsidR="00FE7D63" w:rsidRPr="002F62A5">
              <w:rPr>
                <w:rFonts w:ascii="Trebuchet MS" w:hAnsi="Trebuchet MS" w:cs="Arial"/>
                <w:lang w:val="ro-RO"/>
              </w:rPr>
              <w:t>,</w:t>
            </w:r>
            <w:r w:rsidR="006D0B2A" w:rsidRPr="002F62A5">
              <w:rPr>
                <w:rFonts w:ascii="Trebuchet MS" w:hAnsi="Trebuchet MS" w:cs="Arial"/>
                <w:lang w:val="ro-RO"/>
              </w:rPr>
              <w:t xml:space="preserve"> </w:t>
            </w:r>
            <w:r w:rsidRPr="002F62A5">
              <w:rPr>
                <w:rFonts w:ascii="Trebuchet MS" w:hAnsi="Trebuchet MS" w:cs="Arial"/>
                <w:lang w:val="ro-RO"/>
              </w:rPr>
              <w:t xml:space="preserve">procurorul general al </w:t>
            </w:r>
            <w:r w:rsidR="006D0B2A" w:rsidRPr="002F62A5">
              <w:rPr>
                <w:rFonts w:ascii="Trebuchet MS" w:hAnsi="Trebuchet MS" w:cs="Arial"/>
                <w:lang w:val="ro-RO"/>
              </w:rPr>
              <w:t>P</w:t>
            </w:r>
            <w:r w:rsidRPr="002F62A5">
              <w:rPr>
                <w:rFonts w:ascii="Trebuchet MS" w:hAnsi="Trebuchet MS" w:cs="Arial"/>
                <w:lang w:val="ro-RO"/>
              </w:rPr>
              <w:t>archetului de pe lângă Înalta Curte de Casaţie şi Justiţie</w:t>
            </w:r>
            <w:r w:rsidR="006D0B2A" w:rsidRPr="002F62A5">
              <w:rPr>
                <w:rFonts w:ascii="Trebuchet MS" w:hAnsi="Trebuchet MS" w:cs="Arial"/>
                <w:lang w:val="ro-RO"/>
              </w:rPr>
              <w:t xml:space="preserve">. De asemenea, Consiliul Superior al Magistraturii </w:t>
            </w:r>
            <w:r w:rsidR="006D0B2A" w:rsidRPr="002F62A5">
              <w:rPr>
                <w:rFonts w:ascii="Trebuchet MS" w:hAnsi="Trebuchet MS" w:cs="Arial"/>
                <w:lang w:val="ro-RO"/>
              </w:rPr>
              <w:lastRenderedPageBreak/>
              <w:t xml:space="preserve">îndeplineşte rolul de instanţă de judecată, prin secţiile sale, în domeniul răspunderii disciplinare a judecătorilor şi procurorilor. </w:t>
            </w:r>
          </w:p>
          <w:p w:rsidR="006D0B2A" w:rsidRPr="002F62A5" w:rsidRDefault="006D0B2A" w:rsidP="00386657">
            <w:pPr>
              <w:pStyle w:val="ListParagraph"/>
              <w:autoSpaceDE w:val="0"/>
              <w:autoSpaceDN w:val="0"/>
              <w:adjustRightInd w:val="0"/>
              <w:spacing w:after="0" w:afterAutospacing="0" w:line="276" w:lineRule="auto"/>
              <w:ind w:left="0"/>
              <w:jc w:val="both"/>
              <w:rPr>
                <w:rFonts w:ascii="Trebuchet MS" w:hAnsi="Trebuchet MS" w:cs="Arial"/>
                <w:lang w:val="ro-RO"/>
              </w:rPr>
            </w:pPr>
            <w:r w:rsidRPr="002F62A5">
              <w:rPr>
                <w:rFonts w:ascii="Trebuchet MS" w:hAnsi="Trebuchet MS" w:cs="Arial"/>
                <w:lang w:val="ro-RO"/>
              </w:rPr>
              <w:t>Prin separarea totală a carierelor, Consiliul Superior al Magistraturii, în componenţa prevăzută de Constituţie,</w:t>
            </w:r>
            <w:r w:rsidR="00110EED" w:rsidRPr="002F62A5">
              <w:rPr>
                <w:rFonts w:ascii="Trebuchet MS" w:hAnsi="Trebuchet MS" w:cs="Arial"/>
                <w:lang w:val="ro-RO"/>
              </w:rPr>
              <w:t xml:space="preserve"> ca organ colegial,</w:t>
            </w:r>
            <w:r w:rsidRPr="002F62A5">
              <w:rPr>
                <w:rFonts w:ascii="Trebuchet MS" w:hAnsi="Trebuchet MS" w:cs="Arial"/>
                <w:lang w:val="ro-RO"/>
              </w:rPr>
              <w:t xml:space="preserve"> este lipsit de atribuţii, creându-se în fapt două Consilii Superioare ale Magistraturii</w:t>
            </w:r>
            <w:r w:rsidR="002944D7" w:rsidRPr="002F62A5">
              <w:rPr>
                <w:rFonts w:ascii="Trebuchet MS" w:hAnsi="Trebuchet MS" w:cs="Arial"/>
                <w:lang w:val="ro-RO"/>
              </w:rPr>
              <w:t>, fiecare cu atribuţii proprii şi rol normativ propriu</w:t>
            </w:r>
            <w:r w:rsidRPr="002F62A5">
              <w:rPr>
                <w:rFonts w:ascii="Trebuchet MS" w:hAnsi="Trebuchet MS" w:cs="Arial"/>
                <w:lang w:val="ro-RO"/>
              </w:rPr>
              <w:t>: Secţia pentru judecători şi Secţia pentru procurori</w:t>
            </w:r>
            <w:r w:rsidR="00EF40B5" w:rsidRPr="002F62A5">
              <w:rPr>
                <w:rFonts w:ascii="Trebuchet MS" w:hAnsi="Trebuchet MS" w:cs="Arial"/>
                <w:lang w:val="ro-RO"/>
              </w:rPr>
              <w:t>, lucru pe care Constiuţia României nu îl prevede</w:t>
            </w:r>
            <w:r w:rsidR="009323E0" w:rsidRPr="002F62A5">
              <w:rPr>
                <w:rFonts w:ascii="Trebuchet MS" w:hAnsi="Trebuchet MS" w:cs="Arial"/>
                <w:lang w:val="ro-RO"/>
              </w:rPr>
              <w:t>.</w:t>
            </w:r>
            <w:r w:rsidR="00656591" w:rsidRPr="002F62A5">
              <w:rPr>
                <w:rFonts w:ascii="Trebuchet MS" w:hAnsi="Trebuchet MS" w:cs="Arial"/>
                <w:lang w:val="ro-RO"/>
              </w:rPr>
              <w:t xml:space="preserve"> În c</w:t>
            </w:r>
            <w:r w:rsidR="00FE7D63" w:rsidRPr="002F62A5">
              <w:rPr>
                <w:rFonts w:ascii="Trebuchet MS" w:hAnsi="Trebuchet MS" w:cs="Arial"/>
                <w:lang w:val="ro-RO"/>
              </w:rPr>
              <w:t>o</w:t>
            </w:r>
            <w:r w:rsidR="00656591" w:rsidRPr="002F62A5">
              <w:rPr>
                <w:rFonts w:ascii="Trebuchet MS" w:hAnsi="Trebuchet MS" w:cs="Arial"/>
                <w:lang w:val="ro-RO"/>
              </w:rPr>
              <w:t>ndiţiile în care procurorii sunt magistraţi, nu există niciun temei pentru separarea absolut</w:t>
            </w:r>
            <w:r w:rsidR="00FE7D63" w:rsidRPr="002F62A5">
              <w:rPr>
                <w:rFonts w:ascii="Trebuchet MS" w:hAnsi="Trebuchet MS" w:cs="Arial"/>
                <w:lang w:val="ro-RO"/>
              </w:rPr>
              <w:t>ă</w:t>
            </w:r>
            <w:r w:rsidR="00656591" w:rsidRPr="002F62A5">
              <w:rPr>
                <w:rFonts w:ascii="Trebuchet MS" w:hAnsi="Trebuchet MS" w:cs="Arial"/>
                <w:lang w:val="ro-RO"/>
              </w:rPr>
              <w:t xml:space="preserve"> a car</w:t>
            </w:r>
            <w:r w:rsidR="00FE7D63" w:rsidRPr="002F62A5">
              <w:rPr>
                <w:rFonts w:ascii="Trebuchet MS" w:hAnsi="Trebuchet MS" w:cs="Arial"/>
                <w:lang w:val="ro-RO"/>
              </w:rPr>
              <w:t>ierei acestora</w:t>
            </w:r>
            <w:r w:rsidR="00656591" w:rsidRPr="002F62A5">
              <w:rPr>
                <w:rFonts w:ascii="Trebuchet MS" w:hAnsi="Trebuchet MS" w:cs="Arial"/>
                <w:lang w:val="ro-RO"/>
              </w:rPr>
              <w:t xml:space="preserve"> în raport cu cea a judecătorilor.</w:t>
            </w:r>
            <w:r w:rsidR="00FE7D63" w:rsidRPr="002F62A5">
              <w:rPr>
                <w:rFonts w:ascii="Trebuchet MS" w:hAnsi="Trebuchet MS" w:cs="Arial"/>
                <w:lang w:val="ro-RO"/>
              </w:rPr>
              <w:t xml:space="preserve"> Desigură că există şi diferenţe specifice determinate de activitatea desfăşurată</w:t>
            </w:r>
            <w:r w:rsidR="00A9450E" w:rsidRPr="002F62A5">
              <w:rPr>
                <w:rFonts w:ascii="Trebuchet MS" w:hAnsi="Trebuchet MS" w:cs="Arial"/>
                <w:lang w:val="ro-RO"/>
              </w:rPr>
              <w:t xml:space="preserve"> care se vor reflecta în păstrarea competenţei Secţiilor pe anumite chestiuni referitoare la cariera magistraţilor</w:t>
            </w:r>
            <w:r w:rsidR="00FE7D63" w:rsidRPr="002F62A5">
              <w:rPr>
                <w:rFonts w:ascii="Trebuchet MS" w:hAnsi="Trebuchet MS" w:cs="Arial"/>
                <w:lang w:val="ro-RO"/>
              </w:rPr>
              <w:t>, însă aceste</w:t>
            </w:r>
            <w:r w:rsidR="00A9450E" w:rsidRPr="002F62A5">
              <w:rPr>
                <w:rFonts w:ascii="Trebuchet MS" w:hAnsi="Trebuchet MS" w:cs="Arial"/>
                <w:lang w:val="ro-RO"/>
              </w:rPr>
              <w:t xml:space="preserve"> diferenţe specifice</w:t>
            </w:r>
            <w:r w:rsidR="00FE7D63" w:rsidRPr="002F62A5">
              <w:rPr>
                <w:rFonts w:ascii="Trebuchet MS" w:hAnsi="Trebuchet MS" w:cs="Arial"/>
                <w:lang w:val="ro-RO"/>
              </w:rPr>
              <w:t xml:space="preserve"> nu justifică o astfel de separare. </w:t>
            </w:r>
          </w:p>
          <w:p w:rsidR="00871B70" w:rsidRPr="002F62A5" w:rsidRDefault="00871B70" w:rsidP="00386657">
            <w:pPr>
              <w:pStyle w:val="ListParagraph"/>
              <w:autoSpaceDE w:val="0"/>
              <w:autoSpaceDN w:val="0"/>
              <w:adjustRightInd w:val="0"/>
              <w:spacing w:after="0" w:afterAutospacing="0" w:line="276" w:lineRule="auto"/>
              <w:ind w:left="0"/>
              <w:jc w:val="both"/>
              <w:rPr>
                <w:rFonts w:ascii="Trebuchet MS" w:hAnsi="Trebuchet MS" w:cs="Arial"/>
                <w:lang w:val="ro-RO"/>
              </w:rPr>
            </w:pPr>
          </w:p>
          <w:p w:rsidR="00434F9D" w:rsidRPr="002F62A5" w:rsidRDefault="00800710" w:rsidP="00386657">
            <w:pPr>
              <w:pStyle w:val="ListParagraph"/>
              <w:numPr>
                <w:ilvl w:val="0"/>
                <w:numId w:val="13"/>
              </w:numPr>
              <w:autoSpaceDE w:val="0"/>
              <w:autoSpaceDN w:val="0"/>
              <w:adjustRightInd w:val="0"/>
              <w:spacing w:after="0" w:afterAutospacing="0" w:line="276" w:lineRule="auto"/>
              <w:ind w:left="0" w:firstLine="0"/>
              <w:jc w:val="both"/>
              <w:rPr>
                <w:rFonts w:ascii="Trebuchet MS" w:hAnsi="Trebuchet MS" w:cs="Arial"/>
                <w:b/>
                <w:lang w:val="ro-RO"/>
              </w:rPr>
            </w:pPr>
            <w:r w:rsidRPr="002F62A5">
              <w:rPr>
                <w:rFonts w:ascii="Trebuchet MS" w:hAnsi="Trebuchet MS" w:cs="Arial"/>
                <w:b/>
                <w:lang w:val="ro-RO"/>
              </w:rPr>
              <w:t>I</w:t>
            </w:r>
            <w:r w:rsidR="009323E0" w:rsidRPr="002F62A5">
              <w:rPr>
                <w:rFonts w:ascii="Trebuchet MS" w:hAnsi="Trebuchet MS" w:cs="Arial"/>
                <w:b/>
                <w:lang w:val="ro-RO"/>
              </w:rPr>
              <w:t>mplementarea în plan legislativ a recomandărilor organismelor europene, instituite prin</w:t>
            </w:r>
            <w:r w:rsidR="00434F9D" w:rsidRPr="002F62A5">
              <w:rPr>
                <w:rFonts w:ascii="Trebuchet MS" w:hAnsi="Trebuchet MS" w:cs="Arial"/>
                <w:b/>
                <w:lang w:val="ro-RO"/>
              </w:rPr>
              <w:t xml:space="preserve"> următoarele documente:</w:t>
            </w:r>
          </w:p>
          <w:p w:rsidR="00434F9D" w:rsidRPr="002F62A5" w:rsidRDefault="00434F9D" w:rsidP="00386657">
            <w:pPr>
              <w:pStyle w:val="ListParagraph"/>
              <w:numPr>
                <w:ilvl w:val="0"/>
                <w:numId w:val="11"/>
              </w:numPr>
              <w:autoSpaceDE w:val="0"/>
              <w:autoSpaceDN w:val="0"/>
              <w:adjustRightInd w:val="0"/>
              <w:spacing w:after="0" w:afterAutospacing="0" w:line="276" w:lineRule="auto"/>
              <w:jc w:val="both"/>
              <w:rPr>
                <w:rFonts w:ascii="Trebuchet MS" w:hAnsi="Trebuchet MS" w:cs="Arial"/>
                <w:lang w:val="ro-RO"/>
              </w:rPr>
            </w:pPr>
            <w:r w:rsidRPr="002F62A5">
              <w:rPr>
                <w:rFonts w:ascii="Trebuchet MS" w:hAnsi="Trebuchet MS" w:cs="Arial"/>
                <w:lang w:val="ro-RO"/>
              </w:rPr>
              <w:t xml:space="preserve">Avizul nr. 950/2019 al Comisiei Europene pentru Democraţie prin Drept (Comisia de la Veneţia) </w:t>
            </w:r>
            <w:r w:rsidR="00334501" w:rsidRPr="002F62A5">
              <w:rPr>
                <w:rFonts w:ascii="Trebuchet MS" w:hAnsi="Trebuchet MS" w:cs="Arial"/>
                <w:lang w:val="ro-RO"/>
              </w:rPr>
              <w:t xml:space="preserve">adoptat în a 119-a şedinţă plenară (Veneţia, 21-22 iunie 2019) </w:t>
            </w:r>
            <w:r w:rsidRPr="002F62A5">
              <w:rPr>
                <w:rFonts w:ascii="Trebuchet MS" w:hAnsi="Trebuchet MS" w:cs="Arial"/>
                <w:lang w:val="ro-RO"/>
              </w:rPr>
              <w:t>referitor la ordonanţele de urgenţă ale G</w:t>
            </w:r>
            <w:r w:rsidR="00334501" w:rsidRPr="002F62A5">
              <w:rPr>
                <w:rFonts w:ascii="Trebuchet MS" w:hAnsi="Trebuchet MS" w:cs="Arial"/>
                <w:lang w:val="ro-RO"/>
              </w:rPr>
              <w:t>u</w:t>
            </w:r>
            <w:r w:rsidRPr="002F62A5">
              <w:rPr>
                <w:rFonts w:ascii="Trebuchet MS" w:hAnsi="Trebuchet MS" w:cs="Arial"/>
                <w:lang w:val="ro-RO"/>
              </w:rPr>
              <w:t xml:space="preserve">vernului nr. 7 şi 12 </w:t>
            </w:r>
            <w:r w:rsidR="00334501" w:rsidRPr="002F62A5">
              <w:rPr>
                <w:rFonts w:ascii="Trebuchet MS" w:hAnsi="Trebuchet MS" w:cs="Arial"/>
                <w:lang w:val="ro-RO"/>
              </w:rPr>
              <w:t>de modificare a</w:t>
            </w:r>
            <w:r w:rsidRPr="002F62A5">
              <w:rPr>
                <w:rFonts w:ascii="Trebuchet MS" w:hAnsi="Trebuchet MS" w:cs="Arial"/>
                <w:lang w:val="ro-RO"/>
              </w:rPr>
              <w:t xml:space="preserve"> legil</w:t>
            </w:r>
            <w:r w:rsidR="00334501" w:rsidRPr="002F62A5">
              <w:rPr>
                <w:rFonts w:ascii="Trebuchet MS" w:hAnsi="Trebuchet MS" w:cs="Arial"/>
                <w:lang w:val="ro-RO"/>
              </w:rPr>
              <w:t>or</w:t>
            </w:r>
            <w:r w:rsidRPr="002F62A5">
              <w:rPr>
                <w:rFonts w:ascii="Trebuchet MS" w:hAnsi="Trebuchet MS" w:cs="Arial"/>
                <w:lang w:val="ro-RO"/>
              </w:rPr>
              <w:t xml:space="preserve"> ju</w:t>
            </w:r>
            <w:r w:rsidR="00334501" w:rsidRPr="002F62A5">
              <w:rPr>
                <w:rFonts w:ascii="Trebuchet MS" w:hAnsi="Trebuchet MS" w:cs="Arial"/>
                <w:lang w:val="ro-RO"/>
              </w:rPr>
              <w:t>st</w:t>
            </w:r>
            <w:r w:rsidRPr="002F62A5">
              <w:rPr>
                <w:rFonts w:ascii="Trebuchet MS" w:hAnsi="Trebuchet MS" w:cs="Arial"/>
                <w:lang w:val="ro-RO"/>
              </w:rPr>
              <w:t>iţiei</w:t>
            </w:r>
            <w:r w:rsidR="005F661D" w:rsidRPr="002F62A5">
              <w:rPr>
                <w:rFonts w:ascii="Trebuchet MS" w:hAnsi="Trebuchet MS" w:cs="Arial"/>
                <w:lang w:val="ro-RO"/>
              </w:rPr>
              <w:t>;</w:t>
            </w:r>
          </w:p>
          <w:p w:rsidR="005F661D" w:rsidRPr="002F62A5" w:rsidRDefault="005F661D" w:rsidP="00386657">
            <w:pPr>
              <w:pStyle w:val="ListParagraph"/>
              <w:numPr>
                <w:ilvl w:val="0"/>
                <w:numId w:val="11"/>
              </w:numPr>
              <w:autoSpaceDE w:val="0"/>
              <w:autoSpaceDN w:val="0"/>
              <w:adjustRightInd w:val="0"/>
              <w:spacing w:after="0" w:afterAutospacing="0" w:line="276" w:lineRule="auto"/>
              <w:jc w:val="both"/>
              <w:rPr>
                <w:rFonts w:ascii="Trebuchet MS" w:hAnsi="Trebuchet MS" w:cs="Arial"/>
                <w:lang w:val="ro-RO"/>
              </w:rPr>
            </w:pPr>
            <w:r w:rsidRPr="002F62A5">
              <w:rPr>
                <w:rFonts w:ascii="Trebuchet MS" w:hAnsi="Trebuchet MS" w:cs="Arial"/>
                <w:lang w:val="ro-RO"/>
              </w:rPr>
              <w:t xml:space="preserve">Avizul preliminar nr. 924/2018 </w:t>
            </w:r>
            <w:r w:rsidRPr="002F62A5">
              <w:rPr>
                <w:rFonts w:ascii="Trebuchet MS" w:hAnsi="Trebuchet MS"/>
                <w:lang w:val="ro-RO"/>
              </w:rPr>
              <w:t xml:space="preserve">privind propunerile de modificare a Legii nr. 303/2004 privind statutul judecătorilor și procurorilor, Legii nr. 304/2004 privind organizarea judiciară și a Legii nr. 317/2004 privind </w:t>
            </w:r>
            <w:r w:rsidR="000F7B83" w:rsidRPr="002F62A5">
              <w:rPr>
                <w:rFonts w:ascii="Trebuchet MS" w:hAnsi="Trebuchet MS"/>
                <w:lang w:val="ro-RO"/>
              </w:rPr>
              <w:t>C</w:t>
            </w:r>
            <w:r w:rsidRPr="002F62A5">
              <w:rPr>
                <w:rFonts w:ascii="Trebuchet MS" w:hAnsi="Trebuchet MS"/>
                <w:lang w:val="ro-RO"/>
              </w:rPr>
              <w:t xml:space="preserve">onsiliul </w:t>
            </w:r>
            <w:r w:rsidR="000F7B83" w:rsidRPr="002F62A5">
              <w:rPr>
                <w:rFonts w:ascii="Trebuchet MS" w:hAnsi="Trebuchet MS"/>
                <w:lang w:val="ro-RO"/>
              </w:rPr>
              <w:t>S</w:t>
            </w:r>
            <w:r w:rsidRPr="002F62A5">
              <w:rPr>
                <w:rFonts w:ascii="Trebuchet MS" w:hAnsi="Trebuchet MS"/>
                <w:lang w:val="ro-RO"/>
              </w:rPr>
              <w:t xml:space="preserve">uperior al </w:t>
            </w:r>
            <w:r w:rsidR="000F7B83" w:rsidRPr="002F62A5">
              <w:rPr>
                <w:rFonts w:ascii="Trebuchet MS" w:hAnsi="Trebuchet MS"/>
                <w:lang w:val="ro-RO"/>
              </w:rPr>
              <w:t>M</w:t>
            </w:r>
            <w:r w:rsidRPr="002F62A5">
              <w:rPr>
                <w:rFonts w:ascii="Trebuchet MS" w:hAnsi="Trebuchet MS"/>
                <w:lang w:val="ro-RO"/>
              </w:rPr>
              <w:t>agistraturii</w:t>
            </w:r>
            <w:r w:rsidR="00524E5A" w:rsidRPr="002F62A5">
              <w:rPr>
                <w:rFonts w:ascii="Trebuchet MS" w:hAnsi="Trebuchet MS"/>
                <w:lang w:val="ro-RO"/>
              </w:rPr>
              <w:t>;</w:t>
            </w:r>
          </w:p>
          <w:p w:rsidR="0081574F" w:rsidRPr="002F62A5" w:rsidRDefault="00587E2D" w:rsidP="00386657">
            <w:pPr>
              <w:pStyle w:val="ListParagraph"/>
              <w:numPr>
                <w:ilvl w:val="0"/>
                <w:numId w:val="11"/>
              </w:numPr>
              <w:autoSpaceDE w:val="0"/>
              <w:autoSpaceDN w:val="0"/>
              <w:adjustRightInd w:val="0"/>
              <w:spacing w:after="0" w:afterAutospacing="0" w:line="276" w:lineRule="auto"/>
              <w:jc w:val="both"/>
              <w:rPr>
                <w:rFonts w:ascii="Trebuchet MS" w:hAnsi="Trebuchet MS" w:cs="Arial"/>
                <w:lang w:val="ro-RO"/>
              </w:rPr>
            </w:pPr>
            <w:r w:rsidRPr="002F62A5">
              <w:rPr>
                <w:rFonts w:ascii="Trebuchet MS" w:hAnsi="Trebuchet MS"/>
                <w:lang w:val="ro-RO"/>
              </w:rPr>
              <w:t>Raportul Comisiei către Parlamentul European şi Consiliu privind progresele realizate de România în cadrul Mecanismului de Cooperare și de Verificare</w:t>
            </w:r>
            <w:r w:rsidR="00782274" w:rsidRPr="002F62A5">
              <w:rPr>
                <w:rFonts w:ascii="Trebuchet MS" w:hAnsi="Trebuchet MS"/>
                <w:lang w:val="ro-RO"/>
              </w:rPr>
              <w:t xml:space="preserve">, </w:t>
            </w:r>
            <w:r w:rsidRPr="002F62A5">
              <w:rPr>
                <w:rFonts w:ascii="Trebuchet MS" w:hAnsi="Trebuchet MS"/>
                <w:lang w:val="ro-RO"/>
              </w:rPr>
              <w:t>octombrie 2019;</w:t>
            </w:r>
            <w:r w:rsidR="0081574F" w:rsidRPr="002F62A5">
              <w:rPr>
                <w:rFonts w:ascii="Trebuchet MS" w:hAnsi="Trebuchet MS"/>
                <w:lang w:val="ro-RO"/>
              </w:rPr>
              <w:t xml:space="preserve"> </w:t>
            </w:r>
          </w:p>
          <w:p w:rsidR="0081574F" w:rsidRPr="002F62A5" w:rsidRDefault="0081574F" w:rsidP="00386657">
            <w:pPr>
              <w:pStyle w:val="ListParagraph"/>
              <w:numPr>
                <w:ilvl w:val="0"/>
                <w:numId w:val="11"/>
              </w:numPr>
              <w:autoSpaceDE w:val="0"/>
              <w:autoSpaceDN w:val="0"/>
              <w:adjustRightInd w:val="0"/>
              <w:spacing w:after="0" w:afterAutospacing="0" w:line="276" w:lineRule="auto"/>
              <w:jc w:val="both"/>
              <w:rPr>
                <w:rFonts w:ascii="Trebuchet MS" w:hAnsi="Trebuchet MS" w:cs="Arial"/>
                <w:lang w:val="ro-RO"/>
              </w:rPr>
            </w:pPr>
            <w:r w:rsidRPr="002F62A5">
              <w:rPr>
                <w:rFonts w:ascii="Trebuchet MS" w:hAnsi="Trebuchet MS"/>
                <w:lang w:val="ro-RO"/>
              </w:rPr>
              <w:t>Raportul Comisiei către Parlamentul European şi Consiliu privind progresele înregistrate de România în cadrul mecanismului de cooperare și de Verificare</w:t>
            </w:r>
            <w:r w:rsidR="00782274" w:rsidRPr="002F62A5">
              <w:rPr>
                <w:rFonts w:ascii="Trebuchet MS" w:hAnsi="Trebuchet MS"/>
                <w:lang w:val="ro-RO"/>
              </w:rPr>
              <w:t>,</w:t>
            </w:r>
            <w:r w:rsidRPr="002F62A5">
              <w:rPr>
                <w:rFonts w:ascii="Trebuchet MS" w:hAnsi="Trebuchet MS"/>
                <w:lang w:val="ro-RO"/>
              </w:rPr>
              <w:t xml:space="preserve"> noiembrie 2018;</w:t>
            </w:r>
          </w:p>
          <w:p w:rsidR="0081574F" w:rsidRPr="002F62A5" w:rsidRDefault="0081574F" w:rsidP="00386657">
            <w:pPr>
              <w:pStyle w:val="ListParagraph"/>
              <w:numPr>
                <w:ilvl w:val="0"/>
                <w:numId w:val="11"/>
              </w:numPr>
              <w:autoSpaceDE w:val="0"/>
              <w:autoSpaceDN w:val="0"/>
              <w:adjustRightInd w:val="0"/>
              <w:spacing w:after="0" w:afterAutospacing="0" w:line="276" w:lineRule="auto"/>
              <w:jc w:val="both"/>
              <w:rPr>
                <w:rFonts w:ascii="Trebuchet MS" w:hAnsi="Trebuchet MS" w:cs="Arial"/>
                <w:lang w:val="ro-RO"/>
              </w:rPr>
            </w:pPr>
            <w:r w:rsidRPr="002F62A5">
              <w:rPr>
                <w:rFonts w:ascii="Trebuchet MS" w:hAnsi="Trebuchet MS"/>
                <w:lang w:val="ro-RO"/>
              </w:rPr>
              <w:t>Raportul Comisiei către Parlamentul European şi Consiliu  privind progresele înregistrate în România în cadrul Mecanismului de cooperare și de verificare, noiembrie 2017;</w:t>
            </w:r>
          </w:p>
          <w:p w:rsidR="00800710" w:rsidRPr="002F62A5" w:rsidRDefault="00800710" w:rsidP="00386657">
            <w:pPr>
              <w:pStyle w:val="ListParagraph"/>
              <w:numPr>
                <w:ilvl w:val="0"/>
                <w:numId w:val="11"/>
              </w:numPr>
              <w:spacing w:after="0" w:afterAutospacing="0" w:line="276" w:lineRule="auto"/>
              <w:jc w:val="both"/>
              <w:rPr>
                <w:rFonts w:ascii="Trebuchet MS" w:hAnsi="Trebuchet MS"/>
                <w:lang w:val="ro-RO"/>
              </w:rPr>
            </w:pPr>
            <w:r w:rsidRPr="002F62A5">
              <w:rPr>
                <w:rFonts w:ascii="Trebuchet MS" w:hAnsi="Trebuchet MS"/>
                <w:lang w:val="ro-RO"/>
              </w:rPr>
              <w:t>Raport interimar de conformitate România, Runda a Patra de Evaluare, Prevenirea corupției cu privire la membrii Parlamentului, judecători și procurori, adoptat de GRECO la cea de-a 83-a Reuniune Plenară (Strasbourg, 17-21 iunie 2019), publicat la 9 iulie 2019;</w:t>
            </w:r>
          </w:p>
          <w:p w:rsidR="00800710" w:rsidRPr="002F62A5" w:rsidRDefault="00800710" w:rsidP="00386657">
            <w:pPr>
              <w:pStyle w:val="ListParagraph"/>
              <w:numPr>
                <w:ilvl w:val="0"/>
                <w:numId w:val="11"/>
              </w:numPr>
              <w:spacing w:after="0" w:afterAutospacing="0" w:line="276" w:lineRule="auto"/>
              <w:jc w:val="both"/>
              <w:rPr>
                <w:rFonts w:ascii="Trebuchet MS" w:hAnsi="Trebuchet MS"/>
                <w:lang w:val="ro-RO"/>
              </w:rPr>
            </w:pPr>
            <w:r w:rsidRPr="002F62A5">
              <w:rPr>
                <w:rFonts w:ascii="Trebuchet MS" w:hAnsi="Trebuchet MS"/>
                <w:lang w:val="ro-RO"/>
              </w:rPr>
              <w:t xml:space="preserve">Raport de follow-up referitor la Raportul ad hoc privind Romania (Regula 34), Adoptat de GRECO la cea de-a 83-a Reuniune Plenară (Strasbourg, 17-21 iunie 2019), </w:t>
            </w:r>
            <w:r w:rsidR="007E07B7">
              <w:rPr>
                <w:rFonts w:ascii="Trebuchet MS" w:hAnsi="Trebuchet MS"/>
                <w:lang w:val="ro-RO"/>
              </w:rPr>
              <w:t xml:space="preserve">publicat la </w:t>
            </w:r>
            <w:r w:rsidRPr="002F62A5">
              <w:rPr>
                <w:rFonts w:ascii="Trebuchet MS" w:hAnsi="Trebuchet MS"/>
                <w:lang w:val="ro-RO"/>
              </w:rPr>
              <w:t xml:space="preserve"> 9 iulie 2019;</w:t>
            </w:r>
          </w:p>
          <w:p w:rsidR="00800710" w:rsidRPr="002F62A5" w:rsidRDefault="00800710" w:rsidP="00386657">
            <w:pPr>
              <w:pStyle w:val="ListParagraph"/>
              <w:numPr>
                <w:ilvl w:val="0"/>
                <w:numId w:val="11"/>
              </w:numPr>
              <w:spacing w:after="0" w:afterAutospacing="0" w:line="276" w:lineRule="auto"/>
              <w:jc w:val="both"/>
              <w:rPr>
                <w:rFonts w:ascii="Trebuchet MS" w:hAnsi="Trebuchet MS"/>
                <w:lang w:val="ro-RO"/>
              </w:rPr>
            </w:pPr>
            <w:r w:rsidRPr="002F62A5">
              <w:rPr>
                <w:rFonts w:ascii="Trebuchet MS" w:hAnsi="Trebuchet MS"/>
                <w:lang w:val="ro-RO"/>
              </w:rPr>
              <w:t xml:space="preserve">Raportul ad hoc privind România (Regula 34) Adoptat de GRECO la cea de-a 79-a Reuniune Plenară (Strasbourg, 19-23 Martie 2018), </w:t>
            </w:r>
            <w:r w:rsidR="007E07B7">
              <w:rPr>
                <w:rFonts w:ascii="Trebuchet MS" w:hAnsi="Trebuchet MS"/>
                <w:lang w:val="ro-RO"/>
              </w:rPr>
              <w:t xml:space="preserve">publicat la </w:t>
            </w:r>
            <w:r w:rsidRPr="002F62A5">
              <w:rPr>
                <w:rFonts w:ascii="Trebuchet MS" w:hAnsi="Trebuchet MS"/>
                <w:lang w:val="ro-RO"/>
              </w:rPr>
              <w:t>11 Aprilie 2018</w:t>
            </w:r>
            <w:r w:rsidR="0081574F" w:rsidRPr="002F62A5">
              <w:rPr>
                <w:rFonts w:ascii="Trebuchet MS" w:hAnsi="Trebuchet MS"/>
                <w:lang w:val="ro-RO"/>
              </w:rPr>
              <w:t>;</w:t>
            </w:r>
          </w:p>
          <w:p w:rsidR="0081574F" w:rsidRPr="002F62A5" w:rsidRDefault="0081574F" w:rsidP="00386657">
            <w:pPr>
              <w:pStyle w:val="ListParagraph"/>
              <w:numPr>
                <w:ilvl w:val="0"/>
                <w:numId w:val="11"/>
              </w:numPr>
              <w:spacing w:after="0" w:afterAutospacing="0" w:line="276" w:lineRule="auto"/>
              <w:jc w:val="both"/>
              <w:rPr>
                <w:rFonts w:ascii="Trebuchet MS" w:hAnsi="Trebuchet MS"/>
                <w:lang w:val="ro-RO"/>
              </w:rPr>
            </w:pPr>
            <w:r w:rsidRPr="002F62A5">
              <w:rPr>
                <w:rFonts w:ascii="Trebuchet MS" w:hAnsi="Trebuchet MS"/>
                <w:lang w:val="ro-RO"/>
              </w:rPr>
              <w:lastRenderedPageBreak/>
              <w:t xml:space="preserve">Raport de conformitate România, Runda a Patra de Evaluare, Prevenirea corupției cu privire la membrii Parlamentului, judecători și procurori, adoptat de GRECO la cea de-a 78-a Reuniune Plenară (Strasbourg, 4 - 8 Decembrie 2017), </w:t>
            </w:r>
            <w:r w:rsidR="007E07B7">
              <w:rPr>
                <w:rFonts w:ascii="Trebuchet MS" w:hAnsi="Trebuchet MS"/>
                <w:lang w:val="ro-RO"/>
              </w:rPr>
              <w:t xml:space="preserve">publicat la </w:t>
            </w:r>
            <w:r w:rsidRPr="002F62A5">
              <w:rPr>
                <w:rFonts w:ascii="Trebuchet MS" w:hAnsi="Trebuchet MS"/>
                <w:lang w:val="ro-RO"/>
              </w:rPr>
              <w:t>18 Ianuarie 2018</w:t>
            </w:r>
            <w:r w:rsidR="00782274" w:rsidRPr="002F62A5">
              <w:rPr>
                <w:rFonts w:ascii="Trebuchet MS" w:hAnsi="Trebuchet MS"/>
                <w:lang w:val="ro-RO"/>
              </w:rPr>
              <w:t xml:space="preserve">. </w:t>
            </w:r>
          </w:p>
          <w:p w:rsidR="00706031" w:rsidRPr="002F62A5" w:rsidRDefault="00706031" w:rsidP="00386657">
            <w:pPr>
              <w:pStyle w:val="ListParagraph"/>
              <w:spacing w:after="0" w:afterAutospacing="0" w:line="276" w:lineRule="auto"/>
              <w:ind w:left="0"/>
              <w:jc w:val="both"/>
              <w:rPr>
                <w:rFonts w:ascii="Trebuchet MS" w:hAnsi="Trebuchet MS"/>
                <w:lang w:val="ro-RO"/>
              </w:rPr>
            </w:pPr>
            <w:r w:rsidRPr="002F62A5">
              <w:rPr>
                <w:rFonts w:ascii="Trebuchet MS" w:hAnsi="Trebuchet MS"/>
                <w:lang w:val="ro-RO"/>
              </w:rPr>
              <w:t xml:space="preserve">În plus, a fost avută în vedere şi jurisprudenţa recentă a Curţii Europene a Drepturilor Omului care, în cauza Kövesi împotriva României </w:t>
            </w:r>
            <w:r w:rsidR="00F37875" w:rsidRPr="002F62A5">
              <w:rPr>
                <w:rFonts w:ascii="Trebuchet MS" w:hAnsi="Trebuchet MS"/>
                <w:lang w:val="ro-RO"/>
              </w:rPr>
              <w:t xml:space="preserve">(cererea nr. 3594/19) din 5 mai 2020, s-a pronunţat în sensul </w:t>
            </w:r>
            <w:r w:rsidR="00790D85" w:rsidRPr="002F62A5">
              <w:rPr>
                <w:rFonts w:ascii="Trebuchet MS" w:hAnsi="Trebuchet MS"/>
                <w:lang w:val="ro-RO"/>
              </w:rPr>
              <w:t>că</w:t>
            </w:r>
            <w:r w:rsidR="00F37875" w:rsidRPr="002F62A5">
              <w:rPr>
                <w:rFonts w:ascii="Trebuchet MS" w:hAnsi="Trebuchet MS"/>
                <w:lang w:val="ro-RO"/>
              </w:rPr>
              <w:t xml:space="preserve"> petenta nu s-a bucurat de un remediu intern efectiv împotriva actului de revocare din funcţie</w:t>
            </w:r>
            <w:r w:rsidR="00340584" w:rsidRPr="002F62A5">
              <w:rPr>
                <w:rFonts w:ascii="Trebuchet MS" w:hAnsi="Trebuchet MS"/>
                <w:lang w:val="ro-RO"/>
              </w:rPr>
              <w:t xml:space="preserve">, prin posibilitatea de a ataca în faţa unei instanţe judecătoreşti actul respectiv </w:t>
            </w:r>
            <w:r w:rsidR="00F37875" w:rsidRPr="002F62A5">
              <w:rPr>
                <w:rFonts w:ascii="Trebuchet MS" w:hAnsi="Trebuchet MS"/>
                <w:lang w:val="ro-RO"/>
              </w:rPr>
              <w:t xml:space="preserve"> </w:t>
            </w:r>
            <w:r w:rsidR="00340584" w:rsidRPr="002F62A5">
              <w:rPr>
                <w:rFonts w:ascii="Trebuchet MS" w:hAnsi="Trebuchet MS"/>
                <w:lang w:val="ro-RO"/>
              </w:rPr>
              <w:t>(efectiv, în sensul hotărârii CEDO, însemnând posibilitatea petentei de a</w:t>
            </w:r>
            <w:r w:rsidR="00D9140A" w:rsidRPr="002F62A5">
              <w:rPr>
                <w:rFonts w:ascii="Trebuchet MS" w:hAnsi="Trebuchet MS"/>
                <w:lang w:val="ro-RO"/>
              </w:rPr>
              <w:t xml:space="preserve"> </w:t>
            </w:r>
            <w:r w:rsidR="00340584" w:rsidRPr="002F62A5">
              <w:rPr>
                <w:rFonts w:ascii="Trebuchet MS" w:hAnsi="Trebuchet MS"/>
                <w:lang w:val="ro-RO"/>
              </w:rPr>
              <w:t>pune în discuţie în cadrul unui proces motivele de revocare din func</w:t>
            </w:r>
            <w:r w:rsidR="00D9140A" w:rsidRPr="002F62A5">
              <w:rPr>
                <w:rFonts w:ascii="Trebuchet MS" w:hAnsi="Trebuchet MS"/>
                <w:lang w:val="ro-RO"/>
              </w:rPr>
              <w:t>ţ</w:t>
            </w:r>
            <w:r w:rsidR="00340584" w:rsidRPr="002F62A5">
              <w:rPr>
                <w:rFonts w:ascii="Trebuchet MS" w:hAnsi="Trebuchet MS"/>
                <w:lang w:val="ro-RO"/>
              </w:rPr>
              <w:t>ie, deci netemeinicia actului de revocare).</w:t>
            </w:r>
          </w:p>
          <w:p w:rsidR="005A5211" w:rsidRPr="002F62A5" w:rsidRDefault="00340584" w:rsidP="00386657">
            <w:pPr>
              <w:pStyle w:val="ListParagraph"/>
              <w:spacing w:after="0" w:afterAutospacing="0" w:line="276" w:lineRule="auto"/>
              <w:ind w:left="0"/>
              <w:jc w:val="both"/>
              <w:rPr>
                <w:rFonts w:ascii="Trebuchet MS" w:hAnsi="Trebuchet MS"/>
                <w:lang w:val="ro-RO"/>
              </w:rPr>
            </w:pPr>
            <w:r w:rsidRPr="002F62A5">
              <w:rPr>
                <w:rFonts w:ascii="Trebuchet MS" w:hAnsi="Trebuchet MS"/>
                <w:lang w:val="ro-RO"/>
              </w:rPr>
              <w:t xml:space="preserve"> </w:t>
            </w:r>
          </w:p>
          <w:p w:rsidR="009323E0" w:rsidRPr="002F62A5" w:rsidRDefault="00C10A6D" w:rsidP="00386657">
            <w:pPr>
              <w:pStyle w:val="ListParagraph"/>
              <w:numPr>
                <w:ilvl w:val="0"/>
                <w:numId w:val="13"/>
              </w:numPr>
              <w:autoSpaceDE w:val="0"/>
              <w:autoSpaceDN w:val="0"/>
              <w:adjustRightInd w:val="0"/>
              <w:spacing w:after="0" w:afterAutospacing="0" w:line="276" w:lineRule="auto"/>
              <w:ind w:left="37" w:firstLine="0"/>
              <w:jc w:val="both"/>
              <w:rPr>
                <w:rFonts w:ascii="Trebuchet MS" w:hAnsi="Trebuchet MS"/>
                <w:iCs/>
                <w:lang w:val="ro-RO"/>
              </w:rPr>
            </w:pPr>
            <w:r w:rsidRPr="002F62A5">
              <w:rPr>
                <w:rFonts w:ascii="Trebuchet MS" w:hAnsi="Trebuchet MS" w:cs="Arial"/>
                <w:b/>
                <w:lang w:val="ro-RO"/>
              </w:rPr>
              <w:t>I</w:t>
            </w:r>
            <w:r w:rsidR="009323E0" w:rsidRPr="002F62A5">
              <w:rPr>
                <w:rFonts w:ascii="Trebuchet MS" w:hAnsi="Trebuchet MS" w:cs="Arial"/>
                <w:b/>
                <w:lang w:val="ro-RO"/>
              </w:rPr>
              <w:t>mplementarea la nivel legislativ a deciziilor obligatorii ale Curţii Constituţionale</w:t>
            </w:r>
            <w:r w:rsidR="009323E0" w:rsidRPr="002F62A5">
              <w:rPr>
                <w:rFonts w:ascii="Trebuchet MS" w:hAnsi="Trebuchet MS" w:cs="Arial"/>
                <w:lang w:val="ro-RO"/>
              </w:rPr>
              <w:t xml:space="preserve">, inclusiv ale considerentelor acestora. Astfel, </w:t>
            </w:r>
            <w:r w:rsidR="004B3A43" w:rsidRPr="002F62A5">
              <w:rPr>
                <w:rFonts w:ascii="Trebuchet MS" w:hAnsi="Trebuchet MS" w:cs="Arial"/>
                <w:lang w:val="ro-RO"/>
              </w:rPr>
              <w:t>p</w:t>
            </w:r>
            <w:r w:rsidR="009323E0" w:rsidRPr="002F62A5">
              <w:rPr>
                <w:rFonts w:ascii="Trebuchet MS" w:hAnsi="Trebuchet MS"/>
                <w:lang w:val="ro-RO"/>
              </w:rPr>
              <w:t xml:space="preserve">rin Decizia nr. 121/2020, publicată în Monitorul Oficial al României, Partea I, nr. 487 din 9 iunie 2020, Curtea Constituţională a României a admis excepţia de neconstituționalitate a art. 106 lit. d) din Legea nr. 303/2004 privind statutul judecătorilor şi procurorilor </w:t>
            </w:r>
            <w:r w:rsidR="009323E0" w:rsidRPr="002F62A5">
              <w:rPr>
                <w:rFonts w:ascii="Trebuchet MS" w:hAnsi="Trebuchet MS"/>
                <w:iCs/>
                <w:lang w:val="ro-RO"/>
              </w:rPr>
              <w:t>și a constatat că dispoziţiile acestea sunt neconstituționale.</w:t>
            </w:r>
            <w:r w:rsidR="00CB7DB2" w:rsidRPr="002F62A5">
              <w:rPr>
                <w:rFonts w:ascii="Trebuchet MS" w:hAnsi="Trebuchet MS"/>
                <w:iCs/>
                <w:lang w:val="ro-RO"/>
              </w:rPr>
              <w:t xml:space="preserve"> </w:t>
            </w:r>
          </w:p>
          <w:p w:rsidR="009323E0" w:rsidRPr="002F62A5" w:rsidRDefault="009323E0" w:rsidP="00386657">
            <w:pPr>
              <w:autoSpaceDE w:val="0"/>
              <w:autoSpaceDN w:val="0"/>
              <w:adjustRightInd w:val="0"/>
              <w:spacing w:line="276" w:lineRule="auto"/>
              <w:jc w:val="both"/>
              <w:rPr>
                <w:rFonts w:ascii="Trebuchet MS" w:hAnsi="Trebuchet MS"/>
                <w:sz w:val="22"/>
                <w:szCs w:val="22"/>
                <w:lang w:val="ro-RO"/>
              </w:rPr>
            </w:pPr>
            <w:r w:rsidRPr="002F62A5">
              <w:rPr>
                <w:rFonts w:ascii="Trebuchet MS" w:hAnsi="Trebuchet MS"/>
                <w:iCs/>
                <w:sz w:val="22"/>
                <w:szCs w:val="22"/>
                <w:lang w:val="ro-RO"/>
              </w:rPr>
              <w:t xml:space="preserve">Prin decizia menționată, Curtea Constituțională a reţinut că “faptul </w:t>
            </w:r>
            <w:r w:rsidRPr="002F62A5">
              <w:rPr>
                <w:rFonts w:ascii="Trebuchet MS" w:hAnsi="Trebuchet MS"/>
                <w:sz w:val="22"/>
                <w:szCs w:val="22"/>
                <w:lang w:val="ro-RO"/>
              </w:rPr>
              <w:t>că legea organică privind statutul judecătorilor şi procurorilor - Legea nr. 303/2004 - nu prevede aspecte esenţiale privind concursul pentru admiterea în magistratură, cum sunt etapele şi probele de concurs, modalitatea de stabilire a rezultatelor şi posibilitatea de contestare a fiecărei probe</w:t>
            </w:r>
            <w:r w:rsidR="00546B9E">
              <w:rPr>
                <w:rFonts w:ascii="Trebuchet MS" w:hAnsi="Trebuchet MS"/>
                <w:sz w:val="22"/>
                <w:szCs w:val="22"/>
                <w:lang w:val="ro-RO"/>
              </w:rPr>
              <w:t xml:space="preserve"> şi</w:t>
            </w:r>
            <w:r w:rsidRPr="002F62A5">
              <w:rPr>
                <w:rFonts w:ascii="Trebuchet MS" w:hAnsi="Trebuchet MS"/>
                <w:sz w:val="22"/>
                <w:szCs w:val="22"/>
                <w:lang w:val="ro-RO"/>
              </w:rPr>
              <w:t xml:space="preserve"> contravine dispoziţiilor art. 73 alin. (3) lit. l) din Constituție, potrivit cărora organizarea şi funcţionarea Consiliului Superior al Magistraturii şi organizarea instanţelor judecătoreşti se reglementează prin lege organică. Astfel, aspectele esențiale ale admiterii în magistratură trebuie să fie prevăzute în Legea nr. 303/2004, iar Regulamentul aprobat prin hotărâre a Consiliului Superior al Magistraturii şi publicat în Monitorul Oficial al României, Partea I, trebuie doar să detalieze procedura privind organizarea şi desfăşurarea concursului pentru admiterea în magistratură.” Tot astfel, instanța constituțională a constatat că “posibilitatea Consiliului Superior al Magistraturii de a adopta, prin regulamentul privind organizarea şi desfăşurarea concursului de admitere în magistratură, aspecte esenţiale care ţin de ocuparea posturilor de judecător sau procuror, determină o stare de incertitudine juridică. Or, normele privind admiterea în magistratură trebuie să respecte anumite cerințe de stabilitate şi previzibilitate. Astfel, delegarea atribuției de a stabili aceste norme Consiliului Superior al Magistraturii, prin emiterea unor acte cu caracter administrativ ce au caracter infralegal, determină o </w:t>
            </w:r>
            <w:r w:rsidRPr="002F62A5">
              <w:rPr>
                <w:rFonts w:ascii="Trebuchet MS" w:hAnsi="Trebuchet MS"/>
                <w:sz w:val="22"/>
                <w:szCs w:val="22"/>
                <w:lang w:val="ro-RO"/>
              </w:rPr>
              <w:lastRenderedPageBreak/>
              <w:t>stare de incertitudine juridică, acest gen de acte având, de obicei, un grad sporit de schimbări succesive în timp.”</w:t>
            </w:r>
          </w:p>
          <w:p w:rsidR="009323E0" w:rsidRPr="002F62A5" w:rsidRDefault="009323E0" w:rsidP="00386657">
            <w:pPr>
              <w:autoSpaceDE w:val="0"/>
              <w:autoSpaceDN w:val="0"/>
              <w:adjustRightInd w:val="0"/>
              <w:spacing w:line="276" w:lineRule="auto"/>
              <w:ind w:left="34"/>
              <w:jc w:val="both"/>
              <w:rPr>
                <w:rFonts w:ascii="Trebuchet MS" w:hAnsi="Trebuchet MS"/>
                <w:sz w:val="22"/>
                <w:szCs w:val="22"/>
                <w:lang w:val="ro-RO"/>
              </w:rPr>
            </w:pPr>
            <w:r w:rsidRPr="002F62A5">
              <w:rPr>
                <w:rFonts w:ascii="Trebuchet MS" w:hAnsi="Trebuchet MS"/>
                <w:sz w:val="22"/>
                <w:szCs w:val="22"/>
                <w:lang w:val="ro-RO"/>
              </w:rPr>
              <w:t>Totodată, Curtea Constituțională a reținut că, „pentru respectarea prevederilor constituţionale, legiuitorul trebuie să completeze dispoziţiile Legii nr. 303/2004 nu numai cu aspectele esenţiale ale concursului de admitere în magistratură, organizat potrivit art. 33 din lege, ci şi cu aspectele esenţiale ce ţin de ocuparea posturilor de judecător sau procuror prin celelalte modalităţi de admitere în magistratură. Astfel, Curtea reţine că şi în cazul concursului pentru admiterea la Institutul Naţional al Magistraturii, al examenului de absolvire a Institutului Naţional al Magistraturii şi al examenului de capacitate al judecătorilor stagiari şi al procurorilor stagiari, legea trebuie să prevadă aspectele esenţiale, cum sunt, spre exemplu, condiţiile de participare, regulile generale privind constituirea comisiilor de concurs, tipul etapelor şi probelor de concurs, modalitatea de stabilire a rezultatelor şi posibilitatea de contestare a fiecărei probe”.</w:t>
            </w:r>
          </w:p>
          <w:p w:rsidR="004B3A43" w:rsidRPr="002F62A5" w:rsidRDefault="004B3A43" w:rsidP="00386657">
            <w:pPr>
              <w:autoSpaceDE w:val="0"/>
              <w:autoSpaceDN w:val="0"/>
              <w:adjustRightInd w:val="0"/>
              <w:spacing w:line="276" w:lineRule="auto"/>
              <w:rPr>
                <w:rFonts w:ascii="Trebuchet MS" w:hAnsi="Trebuchet MS"/>
                <w:sz w:val="22"/>
                <w:szCs w:val="22"/>
                <w:lang w:val="ro-RO"/>
              </w:rPr>
            </w:pPr>
          </w:p>
          <w:p w:rsidR="00610733" w:rsidRPr="002F62A5" w:rsidRDefault="00610733" w:rsidP="00386657">
            <w:pPr>
              <w:autoSpaceDE w:val="0"/>
              <w:autoSpaceDN w:val="0"/>
              <w:adjustRightInd w:val="0"/>
              <w:spacing w:line="276" w:lineRule="auto"/>
              <w:jc w:val="both"/>
              <w:rPr>
                <w:rFonts w:ascii="Trebuchet MS" w:eastAsiaTheme="minorHAnsi" w:hAnsi="Trebuchet MS"/>
                <w:sz w:val="22"/>
                <w:szCs w:val="22"/>
                <w:lang w:val="ro-RO"/>
              </w:rPr>
            </w:pPr>
            <w:r w:rsidRPr="002F62A5">
              <w:rPr>
                <w:rFonts w:ascii="Trebuchet MS" w:eastAsiaTheme="minorHAnsi" w:hAnsi="Trebuchet MS"/>
                <w:sz w:val="22"/>
                <w:szCs w:val="22"/>
                <w:lang w:val="ro-RO"/>
              </w:rPr>
              <w:t>Totodată, prin Decizia nr. 454/2020,</w:t>
            </w:r>
            <w:r w:rsidR="004B3A43" w:rsidRPr="002F62A5">
              <w:rPr>
                <w:rFonts w:ascii="Trebuchet MS" w:eastAsiaTheme="minorHAnsi" w:hAnsi="Trebuchet MS"/>
                <w:sz w:val="22"/>
                <w:szCs w:val="22"/>
                <w:lang w:val="ro-RO"/>
              </w:rPr>
              <w:t xml:space="preserve"> publicată în Monitorul Oficial al României, Partea I, nr. 655 din 24 iulie 2020, Curtea Constituţională a admis excepţia de neconstituţionalitate a art. 60 din Legea nr. 303/2004 şi a constatat că soluţia legislativă cuprinsă în art. 60 din Legea nr. 303/2004 privind statutul judecătorilor şi procurorilor, în redactarea anterioară Legii nr. 242/2018, şi în art. 60 alin. (1) din Legea nr. 303/2004, în redactarea ulterioară Legii nr. 242/2018, care nu precizează condiţiile transferării judecătorilor, precum şi art. 60 alin. (3) din Legea nr. 303/2004, în redactarea ulterioară Legii nr. 242/2018, sunt neconstituţionale. Curtea a reţinut că </w:t>
            </w:r>
            <w:r w:rsidRPr="002F62A5">
              <w:rPr>
                <w:rFonts w:ascii="Trebuchet MS" w:eastAsiaTheme="minorHAnsi" w:hAnsi="Trebuchet MS"/>
                <w:sz w:val="22"/>
                <w:szCs w:val="22"/>
                <w:lang w:val="ro-RO"/>
              </w:rPr>
              <w:t>soluţia legislativă cuprinsă în art. 60 din Legea nr. 303/2004, care nu precizează condiţiile transferării judecătorilor, generează o stare de impredictibilitate şi, astfel, încalcă art. 1 alin. (5) din Constituţie, deoarece, de la caz la caz, în mod arbitrar, se poate decide într-un mod subiectiv cu privire la cariera judecătorilor.</w:t>
            </w:r>
          </w:p>
          <w:p w:rsidR="004B3A43" w:rsidRPr="002F62A5" w:rsidRDefault="004B3A43" w:rsidP="00386657">
            <w:pPr>
              <w:autoSpaceDE w:val="0"/>
              <w:autoSpaceDN w:val="0"/>
              <w:adjustRightInd w:val="0"/>
              <w:spacing w:line="276" w:lineRule="auto"/>
              <w:jc w:val="both"/>
              <w:rPr>
                <w:rFonts w:ascii="Trebuchet MS" w:eastAsiaTheme="minorHAnsi" w:hAnsi="Trebuchet MS"/>
                <w:sz w:val="22"/>
                <w:szCs w:val="22"/>
                <w:lang w:val="ro-RO"/>
              </w:rPr>
            </w:pPr>
          </w:p>
          <w:p w:rsidR="00610733" w:rsidRPr="002F62A5" w:rsidRDefault="00610733" w:rsidP="00386657">
            <w:pPr>
              <w:autoSpaceDE w:val="0"/>
              <w:autoSpaceDN w:val="0"/>
              <w:adjustRightInd w:val="0"/>
              <w:spacing w:line="276" w:lineRule="auto"/>
              <w:jc w:val="both"/>
              <w:rPr>
                <w:rFonts w:ascii="Trebuchet MS" w:eastAsiaTheme="minorHAnsi" w:hAnsi="Trebuchet MS"/>
                <w:sz w:val="22"/>
                <w:szCs w:val="22"/>
                <w:lang w:val="ro-RO"/>
              </w:rPr>
            </w:pPr>
            <w:r w:rsidRPr="002F62A5">
              <w:rPr>
                <w:rFonts w:ascii="Trebuchet MS" w:hAnsi="Trebuchet MS" w:cs="Arial"/>
                <w:sz w:val="22"/>
                <w:szCs w:val="22"/>
                <w:lang w:val="ro-RO"/>
              </w:rPr>
              <w:t xml:space="preserve">De asemenea, prin </w:t>
            </w:r>
            <w:r w:rsidR="004B3A43" w:rsidRPr="002F62A5">
              <w:rPr>
                <w:rFonts w:ascii="Trebuchet MS" w:hAnsi="Trebuchet MS" w:cs="Arial"/>
                <w:sz w:val="22"/>
                <w:szCs w:val="22"/>
                <w:lang w:val="ro-RO"/>
              </w:rPr>
              <w:t>D</w:t>
            </w:r>
            <w:r w:rsidRPr="002F62A5">
              <w:rPr>
                <w:rFonts w:ascii="Trebuchet MS" w:hAnsi="Trebuchet MS" w:cs="Arial"/>
                <w:sz w:val="22"/>
                <w:szCs w:val="22"/>
                <w:lang w:val="ro-RO"/>
              </w:rPr>
              <w:t>ecizia nr. 588/2017</w:t>
            </w:r>
            <w:r w:rsidR="004B3A43" w:rsidRPr="002F62A5">
              <w:rPr>
                <w:rFonts w:ascii="Trebuchet MS" w:hAnsi="Trebuchet MS" w:cs="Arial"/>
                <w:sz w:val="22"/>
                <w:szCs w:val="22"/>
                <w:lang w:val="ro-RO"/>
              </w:rPr>
              <w:t>, publicată în Monitorul Oficial al României, Partea I, nr.</w:t>
            </w:r>
            <w:r w:rsidR="004B3A43" w:rsidRPr="002F62A5">
              <w:rPr>
                <w:rFonts w:ascii="Trebuchet MS" w:eastAsiaTheme="minorHAnsi" w:hAnsi="Trebuchet MS"/>
                <w:sz w:val="22"/>
                <w:szCs w:val="22"/>
                <w:lang w:val="ro-RO"/>
              </w:rPr>
              <w:t xml:space="preserve"> 835 din 20 octombrie 2017, Curtea Constituţională a admis excepţia de neconstituţionalitate cu privire la art. 58 alin. (1) din Legea nr. 303/2004, reţinând că </w:t>
            </w:r>
            <w:r w:rsidRPr="002F62A5">
              <w:rPr>
                <w:rFonts w:ascii="Trebuchet MS" w:eastAsiaTheme="minorHAnsi" w:hAnsi="Trebuchet MS"/>
                <w:sz w:val="22"/>
                <w:szCs w:val="22"/>
                <w:lang w:val="ro-RO"/>
              </w:rPr>
              <w:t xml:space="preserve">lipsa unui text expres în cuprinsul art. 58 din Legea nr. 303/2004 ce reglementează statutul judecătorilor şi procurorilor, care să prevadă condiţiile încetării detaşării anterior duratei pentru care s-a dispus, conduce la imprevizibilitatea textului de lege criticat şi, astfel, la încălcarea art. 1 alin. (5) din Constituţie, deoarece, de la caz la caz, în mod arbitrar, se poate decide cu privire la cariera magistratului, şi anume la încetarea detaşării judecătorului sau procurorului anterior duratei </w:t>
            </w:r>
            <w:r w:rsidRPr="002F62A5">
              <w:rPr>
                <w:rFonts w:ascii="Trebuchet MS" w:eastAsiaTheme="minorHAnsi" w:hAnsi="Trebuchet MS"/>
                <w:sz w:val="22"/>
                <w:szCs w:val="22"/>
                <w:lang w:val="ro-RO"/>
              </w:rPr>
              <w:lastRenderedPageBreak/>
              <w:t>pentru care s-a dispus, în unele cazuri pe baza cererii judecătorului sau procurorului, iar în alte cazuri fără a exista o astfel de cerere</w:t>
            </w:r>
            <w:r w:rsidR="004B3A43" w:rsidRPr="002F62A5">
              <w:rPr>
                <w:rFonts w:ascii="Trebuchet MS" w:eastAsiaTheme="minorHAnsi" w:hAnsi="Trebuchet MS"/>
                <w:sz w:val="22"/>
                <w:szCs w:val="22"/>
                <w:lang w:val="ro-RO"/>
              </w:rPr>
              <w:t>”</w:t>
            </w:r>
            <w:r w:rsidRPr="002F62A5">
              <w:rPr>
                <w:rFonts w:ascii="Trebuchet MS" w:eastAsiaTheme="minorHAnsi" w:hAnsi="Trebuchet MS"/>
                <w:sz w:val="22"/>
                <w:szCs w:val="22"/>
                <w:lang w:val="ro-RO"/>
              </w:rPr>
              <w:t>.</w:t>
            </w:r>
          </w:p>
          <w:p w:rsidR="00151C47" w:rsidRPr="002F62A5" w:rsidRDefault="00151C47" w:rsidP="00386657">
            <w:pPr>
              <w:autoSpaceDE w:val="0"/>
              <w:autoSpaceDN w:val="0"/>
              <w:adjustRightInd w:val="0"/>
              <w:spacing w:line="276" w:lineRule="auto"/>
              <w:jc w:val="both"/>
              <w:rPr>
                <w:rFonts w:ascii="Trebuchet MS" w:hAnsi="Trebuchet MS" w:cs="Arial"/>
                <w:sz w:val="22"/>
                <w:szCs w:val="22"/>
                <w:lang w:val="ro-RO"/>
              </w:rPr>
            </w:pPr>
          </w:p>
          <w:p w:rsidR="00871B70" w:rsidRPr="002F62A5" w:rsidRDefault="00871B70" w:rsidP="00386657">
            <w:pPr>
              <w:pStyle w:val="ListParagraph"/>
              <w:numPr>
                <w:ilvl w:val="0"/>
                <w:numId w:val="13"/>
              </w:numPr>
              <w:autoSpaceDE w:val="0"/>
              <w:autoSpaceDN w:val="0"/>
              <w:adjustRightInd w:val="0"/>
              <w:spacing w:after="0" w:afterAutospacing="0" w:line="276" w:lineRule="auto"/>
              <w:ind w:left="0" w:firstLine="0"/>
              <w:jc w:val="both"/>
              <w:rPr>
                <w:rFonts w:ascii="Trebuchet MS" w:hAnsi="Trebuchet MS" w:cs="Arial"/>
                <w:lang w:val="ro-RO"/>
              </w:rPr>
            </w:pPr>
            <w:r w:rsidRPr="002F62A5">
              <w:rPr>
                <w:rFonts w:ascii="Trebuchet MS" w:hAnsi="Trebuchet MS" w:cs="Arial"/>
                <w:lang w:val="ro-RO"/>
              </w:rPr>
              <w:t>Intervenţii cu caracter de noutate, punctual</w:t>
            </w:r>
            <w:r w:rsidR="00A743C5" w:rsidRPr="002F62A5">
              <w:rPr>
                <w:rFonts w:ascii="Trebuchet MS" w:hAnsi="Trebuchet MS" w:cs="Arial"/>
                <w:lang w:val="ro-RO"/>
              </w:rPr>
              <w:t>e</w:t>
            </w:r>
            <w:r w:rsidRPr="002F62A5">
              <w:rPr>
                <w:rFonts w:ascii="Trebuchet MS" w:hAnsi="Trebuchet MS" w:cs="Arial"/>
                <w:lang w:val="ro-RO"/>
              </w:rPr>
              <w:t>, pe anumite aspecte care generează disfuncţionalităţi în practică</w:t>
            </w:r>
            <w:r w:rsidR="00107589" w:rsidRPr="002F62A5">
              <w:rPr>
                <w:rFonts w:ascii="Trebuchet MS" w:hAnsi="Trebuchet MS" w:cs="Arial"/>
                <w:lang w:val="ro-RO"/>
              </w:rPr>
              <w:t>, corelarea textelor, a termenelor, a procedurilor</w:t>
            </w:r>
            <w:r w:rsidRPr="002F62A5">
              <w:rPr>
                <w:rFonts w:ascii="Trebuchet MS" w:hAnsi="Trebuchet MS" w:cs="Arial"/>
                <w:lang w:val="ro-RO"/>
              </w:rPr>
              <w:t xml:space="preserve"> sau clarificarea unor dispoziţii legale contradictorii şi sistematizarea textelor</w:t>
            </w:r>
            <w:r w:rsidR="00A743C5" w:rsidRPr="002F62A5">
              <w:rPr>
                <w:rFonts w:ascii="Trebuchet MS" w:hAnsi="Trebuchet MS" w:cs="Arial"/>
                <w:lang w:val="ro-RO"/>
              </w:rPr>
              <w:t xml:space="preserve">. </w:t>
            </w:r>
            <w:r w:rsidRPr="002F62A5">
              <w:rPr>
                <w:rFonts w:ascii="Trebuchet MS" w:hAnsi="Trebuchet MS" w:cs="Arial"/>
                <w:lang w:val="ro-RO"/>
              </w:rPr>
              <w:t xml:space="preserve"> </w:t>
            </w:r>
          </w:p>
          <w:p w:rsidR="00EF29C5" w:rsidRPr="002F62A5" w:rsidRDefault="00EF29C5" w:rsidP="00386657">
            <w:pPr>
              <w:autoSpaceDE w:val="0"/>
              <w:autoSpaceDN w:val="0"/>
              <w:adjustRightInd w:val="0"/>
              <w:spacing w:line="276" w:lineRule="auto"/>
              <w:jc w:val="both"/>
              <w:rPr>
                <w:rFonts w:ascii="Trebuchet MS" w:hAnsi="Trebuchet MS" w:cs="Arial"/>
                <w:sz w:val="22"/>
                <w:szCs w:val="22"/>
                <w:lang w:val="ro-RO"/>
              </w:rPr>
            </w:pPr>
          </w:p>
        </w:tc>
      </w:tr>
      <w:tr w:rsidR="008B516A" w:rsidRPr="002F62A5" w:rsidTr="00346997">
        <w:tc>
          <w:tcPr>
            <w:tcW w:w="3970" w:type="dxa"/>
            <w:tcBorders>
              <w:right w:val="single" w:sz="4" w:space="0" w:color="auto"/>
            </w:tcBorders>
          </w:tcPr>
          <w:p w:rsidR="00682D39" w:rsidRPr="002F62A5" w:rsidRDefault="00682D39" w:rsidP="00386657">
            <w:pPr>
              <w:spacing w:line="276" w:lineRule="auto"/>
              <w:jc w:val="both"/>
              <w:rPr>
                <w:rFonts w:ascii="Trebuchet MS" w:hAnsi="Trebuchet MS" w:cs="Arial"/>
                <w:snapToGrid w:val="0"/>
                <w:sz w:val="22"/>
                <w:szCs w:val="22"/>
                <w:lang w:val="ro-RO"/>
              </w:rPr>
            </w:pPr>
            <w:r w:rsidRPr="002F62A5">
              <w:rPr>
                <w:rFonts w:ascii="Trebuchet MS" w:hAnsi="Trebuchet MS" w:cs="Arial"/>
                <w:snapToGrid w:val="0"/>
                <w:sz w:val="22"/>
                <w:szCs w:val="22"/>
                <w:lang w:val="ro-RO"/>
              </w:rPr>
              <w:lastRenderedPageBreak/>
              <w:t>1</w:t>
            </w:r>
            <w:r w:rsidRPr="002F62A5">
              <w:rPr>
                <w:rFonts w:ascii="Trebuchet MS" w:hAnsi="Trebuchet MS" w:cs="Arial"/>
                <w:snapToGrid w:val="0"/>
                <w:sz w:val="22"/>
                <w:szCs w:val="22"/>
                <w:vertAlign w:val="superscript"/>
                <w:lang w:val="ro-RO"/>
              </w:rPr>
              <w:t>1</w:t>
            </w:r>
            <w:r w:rsidRPr="002F62A5">
              <w:rPr>
                <w:rFonts w:ascii="Trebuchet MS" w:hAnsi="Trebuchet MS" w:cs="Arial"/>
                <w:snapToGrid w:val="0"/>
                <w:sz w:val="22"/>
                <w:szCs w:val="22"/>
                <w:lang w:val="ro-RO"/>
              </w:rPr>
              <w:t>. În cazul proiectelor de acte normative care transpun legislație comunitară sau creează cadrul pentru aplicarea directă a acesteia, se vor specifica doar actele comunitare în cauză, însoțite de elementele de identificare ale acestora</w:t>
            </w:r>
          </w:p>
        </w:tc>
        <w:tc>
          <w:tcPr>
            <w:tcW w:w="7229" w:type="dxa"/>
            <w:gridSpan w:val="7"/>
            <w:tcBorders>
              <w:top w:val="single" w:sz="4" w:space="0" w:color="auto"/>
              <w:left w:val="single" w:sz="4" w:space="0" w:color="auto"/>
              <w:bottom w:val="single" w:sz="4" w:space="0" w:color="auto"/>
              <w:right w:val="single" w:sz="4" w:space="0" w:color="auto"/>
            </w:tcBorders>
          </w:tcPr>
          <w:p w:rsidR="00682D39" w:rsidRPr="002F62A5" w:rsidRDefault="00682D39" w:rsidP="00386657">
            <w:pPr>
              <w:shd w:val="clear" w:color="auto" w:fill="FFFFFF"/>
              <w:spacing w:line="276" w:lineRule="auto"/>
              <w:ind w:left="22"/>
              <w:jc w:val="both"/>
              <w:rPr>
                <w:rFonts w:ascii="Trebuchet MS" w:hAnsi="Trebuchet MS" w:cs="Arial"/>
                <w:sz w:val="22"/>
                <w:szCs w:val="22"/>
                <w:lang w:val="ro-RO"/>
              </w:rPr>
            </w:pPr>
            <w:r w:rsidRPr="002F62A5">
              <w:rPr>
                <w:rFonts w:ascii="Trebuchet MS" w:hAnsi="Trebuchet MS" w:cs="Arial"/>
                <w:sz w:val="22"/>
                <w:szCs w:val="22"/>
                <w:lang w:val="ro-RO"/>
              </w:rPr>
              <w:t xml:space="preserve">Nu este cazul. </w:t>
            </w:r>
          </w:p>
          <w:p w:rsidR="00682D39" w:rsidRPr="002F62A5" w:rsidRDefault="00682D39" w:rsidP="00386657">
            <w:pPr>
              <w:shd w:val="clear" w:color="auto" w:fill="FFFFFF"/>
              <w:spacing w:line="276" w:lineRule="auto"/>
              <w:ind w:left="22"/>
              <w:jc w:val="both"/>
              <w:rPr>
                <w:rFonts w:ascii="Trebuchet MS" w:hAnsi="Trebuchet MS" w:cs="Arial"/>
                <w:sz w:val="22"/>
                <w:szCs w:val="22"/>
                <w:lang w:val="ro-RO"/>
              </w:rPr>
            </w:pPr>
          </w:p>
          <w:p w:rsidR="00682D39" w:rsidRPr="002F62A5" w:rsidRDefault="00682D39" w:rsidP="00386657">
            <w:pPr>
              <w:shd w:val="clear" w:color="auto" w:fill="FFFFFF"/>
              <w:spacing w:line="276" w:lineRule="auto"/>
              <w:ind w:left="22"/>
              <w:jc w:val="both"/>
              <w:rPr>
                <w:rFonts w:ascii="Trebuchet MS" w:hAnsi="Trebuchet MS" w:cs="Arial"/>
                <w:sz w:val="22"/>
                <w:szCs w:val="22"/>
                <w:lang w:val="ro-RO"/>
              </w:rPr>
            </w:pPr>
          </w:p>
          <w:p w:rsidR="00682D39" w:rsidRPr="002F62A5" w:rsidRDefault="00682D39" w:rsidP="00386657">
            <w:pPr>
              <w:shd w:val="clear" w:color="auto" w:fill="FFFFFF"/>
              <w:spacing w:line="276" w:lineRule="auto"/>
              <w:jc w:val="both"/>
              <w:rPr>
                <w:rFonts w:ascii="Trebuchet MS" w:hAnsi="Trebuchet MS" w:cs="Arial"/>
                <w:sz w:val="22"/>
                <w:szCs w:val="22"/>
                <w:lang w:val="ro-RO"/>
              </w:rPr>
            </w:pPr>
          </w:p>
          <w:p w:rsidR="00682D39" w:rsidRPr="002F62A5" w:rsidRDefault="00682D39" w:rsidP="00386657">
            <w:pPr>
              <w:shd w:val="clear" w:color="auto" w:fill="FFFFFF"/>
              <w:spacing w:line="276" w:lineRule="auto"/>
              <w:jc w:val="both"/>
              <w:rPr>
                <w:rFonts w:ascii="Trebuchet MS" w:hAnsi="Trebuchet MS" w:cs="Arial"/>
                <w:sz w:val="22"/>
                <w:szCs w:val="22"/>
                <w:lang w:val="ro-RO"/>
              </w:rPr>
            </w:pPr>
          </w:p>
        </w:tc>
      </w:tr>
      <w:tr w:rsidR="008B516A" w:rsidRPr="005A09FF" w:rsidTr="00346997">
        <w:tc>
          <w:tcPr>
            <w:tcW w:w="3970" w:type="dxa"/>
            <w:tcBorders>
              <w:right w:val="single" w:sz="4" w:space="0" w:color="auto"/>
            </w:tcBorders>
          </w:tcPr>
          <w:p w:rsidR="00682D39" w:rsidRPr="002F62A5" w:rsidRDefault="00682D39" w:rsidP="00386657">
            <w:pPr>
              <w:spacing w:line="276" w:lineRule="auto"/>
              <w:rPr>
                <w:rFonts w:ascii="Trebuchet MS" w:hAnsi="Trebuchet MS" w:cs="Arial"/>
                <w:snapToGrid w:val="0"/>
                <w:sz w:val="22"/>
                <w:szCs w:val="22"/>
                <w:lang w:val="ro-RO"/>
              </w:rPr>
            </w:pPr>
            <w:r w:rsidRPr="002F62A5">
              <w:rPr>
                <w:rFonts w:ascii="Trebuchet MS" w:hAnsi="Trebuchet MS" w:cs="Arial"/>
                <w:snapToGrid w:val="0"/>
                <w:sz w:val="22"/>
                <w:szCs w:val="22"/>
                <w:lang w:val="ro-RO"/>
              </w:rPr>
              <w:t>2. Schimbări preconizate</w:t>
            </w:r>
          </w:p>
        </w:tc>
        <w:tc>
          <w:tcPr>
            <w:tcW w:w="7229" w:type="dxa"/>
            <w:gridSpan w:val="7"/>
            <w:tcBorders>
              <w:top w:val="single" w:sz="4" w:space="0" w:color="auto"/>
              <w:left w:val="single" w:sz="4" w:space="0" w:color="auto"/>
              <w:bottom w:val="single" w:sz="4" w:space="0" w:color="auto"/>
              <w:right w:val="single" w:sz="4" w:space="0" w:color="auto"/>
            </w:tcBorders>
          </w:tcPr>
          <w:p w:rsidR="000A1A99" w:rsidRPr="002F62A5" w:rsidRDefault="00FB38EA" w:rsidP="00386657">
            <w:pPr>
              <w:autoSpaceDE w:val="0"/>
              <w:autoSpaceDN w:val="0"/>
              <w:adjustRightInd w:val="0"/>
              <w:spacing w:line="276" w:lineRule="auto"/>
              <w:jc w:val="both"/>
              <w:rPr>
                <w:rFonts w:ascii="Trebuchet MS" w:eastAsiaTheme="minorHAnsi" w:hAnsi="Trebuchet MS"/>
                <w:sz w:val="22"/>
                <w:szCs w:val="22"/>
                <w:lang w:val="ro-RO"/>
              </w:rPr>
            </w:pPr>
            <w:r w:rsidRPr="002F62A5">
              <w:rPr>
                <w:rFonts w:ascii="Trebuchet MS" w:hAnsi="Trebuchet MS"/>
                <w:bCs/>
                <w:sz w:val="22"/>
                <w:szCs w:val="22"/>
                <w:lang w:val="ro-RO"/>
              </w:rPr>
              <w:t xml:space="preserve">   </w:t>
            </w:r>
            <w:r w:rsidR="00610733" w:rsidRPr="002F62A5">
              <w:rPr>
                <w:rFonts w:ascii="Trebuchet MS" w:hAnsi="Trebuchet MS"/>
                <w:bCs/>
                <w:sz w:val="22"/>
                <w:szCs w:val="22"/>
                <w:lang w:val="ro-RO"/>
              </w:rPr>
              <w:t>În raport cu cele menţionate anterior, a fost elaborat un nou proiect de lege</w:t>
            </w:r>
            <w:r w:rsidR="000A1A99" w:rsidRPr="002F62A5">
              <w:rPr>
                <w:rFonts w:ascii="Trebuchet MS" w:hAnsi="Trebuchet MS"/>
                <w:bCs/>
                <w:sz w:val="22"/>
                <w:szCs w:val="22"/>
                <w:lang w:val="ro-RO"/>
              </w:rPr>
              <w:t xml:space="preserve"> care să reglementeze statutul magistraţilor</w:t>
            </w:r>
            <w:r w:rsidR="00610733" w:rsidRPr="002F62A5">
              <w:rPr>
                <w:rFonts w:ascii="Trebuchet MS" w:hAnsi="Trebuchet MS"/>
                <w:bCs/>
                <w:sz w:val="22"/>
                <w:szCs w:val="22"/>
                <w:lang w:val="ro-RO"/>
              </w:rPr>
              <w:t xml:space="preserve">, în acord cu </w:t>
            </w:r>
            <w:r w:rsidR="00020E84" w:rsidRPr="002F62A5">
              <w:rPr>
                <w:rFonts w:ascii="Trebuchet MS" w:hAnsi="Trebuchet MS"/>
                <w:bCs/>
                <w:sz w:val="22"/>
                <w:szCs w:val="22"/>
                <w:lang w:val="ro-RO"/>
              </w:rPr>
              <w:t>dispoziţiile</w:t>
            </w:r>
            <w:r w:rsidR="00610733" w:rsidRPr="002F62A5">
              <w:rPr>
                <w:rFonts w:ascii="Trebuchet MS" w:hAnsi="Trebuchet MS"/>
                <w:bCs/>
                <w:sz w:val="22"/>
                <w:szCs w:val="22"/>
                <w:lang w:val="ro-RO"/>
              </w:rPr>
              <w:t xml:space="preserve"> cuprinse în Legea nr. 24/2004</w:t>
            </w:r>
            <w:r w:rsidR="00020E84" w:rsidRPr="002F62A5">
              <w:rPr>
                <w:rFonts w:ascii="Trebuchet MS" w:eastAsiaTheme="minorHAnsi" w:hAnsi="Trebuchet MS"/>
                <w:sz w:val="22"/>
                <w:szCs w:val="22"/>
                <w:lang w:val="ro-RO"/>
              </w:rPr>
              <w:t xml:space="preserve"> privind normele de tehnică legislativă pentru elaborarea actelor normative</w:t>
            </w:r>
            <w:r w:rsidR="00020E84" w:rsidRPr="002F62A5">
              <w:rPr>
                <w:rFonts w:ascii="Trebuchet MS" w:hAnsi="Trebuchet MS"/>
                <w:bCs/>
                <w:sz w:val="22"/>
                <w:szCs w:val="22"/>
                <w:lang w:val="ro-RO"/>
              </w:rPr>
              <w:t xml:space="preserve">, republicată, </w:t>
            </w:r>
            <w:r w:rsidR="00610733" w:rsidRPr="002F62A5">
              <w:rPr>
                <w:rFonts w:ascii="Trebuchet MS" w:hAnsi="Trebuchet MS"/>
                <w:bCs/>
                <w:sz w:val="22"/>
                <w:szCs w:val="22"/>
                <w:lang w:val="ro-RO"/>
              </w:rPr>
              <w:t xml:space="preserve"> care prevede</w:t>
            </w:r>
            <w:r w:rsidR="00020E84" w:rsidRPr="002F62A5">
              <w:rPr>
                <w:rFonts w:ascii="Trebuchet MS" w:hAnsi="Trebuchet MS"/>
                <w:bCs/>
                <w:sz w:val="22"/>
                <w:szCs w:val="22"/>
                <w:lang w:val="ro-RO"/>
              </w:rPr>
              <w:t>, la art. 61,</w:t>
            </w:r>
            <w:r w:rsidR="00610733" w:rsidRPr="002F62A5">
              <w:rPr>
                <w:rFonts w:ascii="Trebuchet MS" w:hAnsi="Trebuchet MS"/>
                <w:bCs/>
                <w:sz w:val="22"/>
                <w:szCs w:val="22"/>
                <w:lang w:val="ro-RO"/>
              </w:rPr>
              <w:t xml:space="preserve"> că:</w:t>
            </w:r>
            <w:r w:rsidR="000A1A99" w:rsidRPr="002F62A5">
              <w:rPr>
                <w:rFonts w:ascii="Trebuchet MS" w:eastAsiaTheme="minorHAnsi" w:hAnsi="Trebuchet MS"/>
                <w:sz w:val="22"/>
                <w:szCs w:val="22"/>
                <w:lang w:val="ro-RO"/>
              </w:rPr>
              <w:t xml:space="preserve"> </w:t>
            </w:r>
            <w:r w:rsidR="00020E84" w:rsidRPr="002F62A5">
              <w:rPr>
                <w:rFonts w:ascii="Trebuchet MS" w:eastAsiaTheme="minorHAnsi" w:hAnsi="Trebuchet MS"/>
                <w:sz w:val="22"/>
                <w:szCs w:val="22"/>
                <w:lang w:val="ro-RO"/>
              </w:rPr>
              <w:t>“</w:t>
            </w:r>
            <w:r w:rsidR="000A1A99" w:rsidRPr="002F62A5">
              <w:rPr>
                <w:rFonts w:ascii="Trebuchet MS" w:eastAsiaTheme="minorHAnsi" w:hAnsi="Trebuchet MS"/>
                <w:sz w:val="22"/>
                <w:szCs w:val="22"/>
                <w:lang w:val="ro-RO"/>
              </w:rPr>
              <w:t xml:space="preserve">Modificarea sau completarea unui act normativ este admisă numai dacă nu se afectează concepţia generală ori caracterul unitar al acelui act sau dacă nu priveşte întreaga ori cea mai mare parte a reglementării în cauză; în caz contrar actul se înlocuieşte cu o nouă reglementare, urmând să fie în întregime </w:t>
            </w:r>
            <w:r w:rsidR="00020E84" w:rsidRPr="002F62A5">
              <w:rPr>
                <w:rFonts w:ascii="Trebuchet MS" w:eastAsiaTheme="minorHAnsi" w:hAnsi="Trebuchet MS"/>
                <w:sz w:val="22"/>
                <w:szCs w:val="22"/>
                <w:lang w:val="ro-RO"/>
              </w:rPr>
              <w:t>abrogat”</w:t>
            </w:r>
            <w:r w:rsidR="000A1A99" w:rsidRPr="002F62A5">
              <w:rPr>
                <w:rFonts w:ascii="Trebuchet MS" w:eastAsiaTheme="minorHAnsi" w:hAnsi="Trebuchet MS"/>
                <w:sz w:val="22"/>
                <w:szCs w:val="22"/>
                <w:lang w:val="ro-RO"/>
              </w:rPr>
              <w:t>.</w:t>
            </w:r>
          </w:p>
          <w:p w:rsidR="00610733" w:rsidRPr="002F62A5" w:rsidRDefault="00610733" w:rsidP="00386657">
            <w:pPr>
              <w:spacing w:line="276" w:lineRule="auto"/>
              <w:jc w:val="both"/>
              <w:rPr>
                <w:rFonts w:ascii="Trebuchet MS" w:hAnsi="Trebuchet MS"/>
                <w:bCs/>
                <w:sz w:val="22"/>
                <w:szCs w:val="22"/>
                <w:lang w:val="ro-RO"/>
              </w:rPr>
            </w:pPr>
          </w:p>
          <w:p w:rsidR="000A1A99" w:rsidRPr="002F62A5" w:rsidRDefault="000A1A99" w:rsidP="00386657">
            <w:pPr>
              <w:spacing w:line="276" w:lineRule="auto"/>
              <w:jc w:val="both"/>
              <w:rPr>
                <w:rFonts w:ascii="Trebuchet MS" w:hAnsi="Trebuchet MS"/>
                <w:bCs/>
                <w:sz w:val="22"/>
                <w:szCs w:val="22"/>
                <w:lang w:val="ro-RO"/>
              </w:rPr>
            </w:pPr>
            <w:r w:rsidRPr="002F62A5">
              <w:rPr>
                <w:rFonts w:ascii="Trebuchet MS" w:hAnsi="Trebuchet MS"/>
                <w:bCs/>
                <w:sz w:val="22"/>
                <w:szCs w:val="22"/>
                <w:lang w:val="ro-RO"/>
              </w:rPr>
              <w:t>Prin proiectul de lege prezentat se propun următoarele:</w:t>
            </w:r>
          </w:p>
          <w:p w:rsidR="002B64CC" w:rsidRDefault="000A1A99" w:rsidP="00386657">
            <w:pPr>
              <w:pStyle w:val="ListParagraph"/>
              <w:numPr>
                <w:ilvl w:val="0"/>
                <w:numId w:val="6"/>
              </w:numPr>
              <w:spacing w:after="0" w:afterAutospacing="0" w:line="276" w:lineRule="auto"/>
              <w:jc w:val="both"/>
              <w:rPr>
                <w:rFonts w:ascii="Trebuchet MS" w:hAnsi="Trebuchet MS"/>
                <w:bCs/>
                <w:lang w:val="ro-RO"/>
              </w:rPr>
            </w:pPr>
            <w:r w:rsidRPr="002F62A5">
              <w:rPr>
                <w:rFonts w:ascii="Trebuchet MS" w:hAnsi="Trebuchet MS"/>
                <w:bCs/>
                <w:lang w:val="ro-RO"/>
              </w:rPr>
              <w:t>Atenuarea principiului separării carierelor</w:t>
            </w:r>
            <w:r w:rsidR="00236B1C" w:rsidRPr="002F62A5">
              <w:rPr>
                <w:rFonts w:ascii="Trebuchet MS" w:hAnsi="Trebuchet MS"/>
                <w:bCs/>
                <w:lang w:val="ro-RO"/>
              </w:rPr>
              <w:t xml:space="preserve"> judecătorilor şi procurorilor</w:t>
            </w:r>
            <w:r w:rsidRPr="002F62A5">
              <w:rPr>
                <w:rFonts w:ascii="Trebuchet MS" w:hAnsi="Trebuchet MS"/>
                <w:bCs/>
                <w:lang w:val="ro-RO"/>
              </w:rPr>
              <w:t xml:space="preserve">, în acord cu dispoziţiile constituţionale, astfel încât Plenul Consiliului Superior al Magistraturii </w:t>
            </w:r>
            <w:r w:rsidR="00DE4D89" w:rsidRPr="002F62A5">
              <w:rPr>
                <w:rFonts w:ascii="Trebuchet MS" w:hAnsi="Trebuchet MS"/>
                <w:bCs/>
                <w:lang w:val="ro-RO"/>
              </w:rPr>
              <w:t>să aibă</w:t>
            </w:r>
            <w:r w:rsidRPr="002F62A5">
              <w:rPr>
                <w:rFonts w:ascii="Trebuchet MS" w:hAnsi="Trebuchet MS"/>
                <w:bCs/>
                <w:lang w:val="ro-RO"/>
              </w:rPr>
              <w:t xml:space="preserve"> cele mai importante atribuţii care privesc cariera judecătorilor şi procurorilor, urmând a fi menţinute la nivelul Secţiilor doar </w:t>
            </w:r>
            <w:r w:rsidR="00DE4D89" w:rsidRPr="002F62A5">
              <w:rPr>
                <w:rFonts w:ascii="Trebuchet MS" w:hAnsi="Trebuchet MS"/>
                <w:bCs/>
                <w:lang w:val="ro-RO"/>
              </w:rPr>
              <w:t xml:space="preserve">atribuţii </w:t>
            </w:r>
            <w:r w:rsidRPr="002F62A5">
              <w:rPr>
                <w:rFonts w:ascii="Trebuchet MS" w:hAnsi="Trebuchet MS"/>
                <w:bCs/>
                <w:lang w:val="ro-RO"/>
              </w:rPr>
              <w:t>specifice, cum sunt: detaşarea judecătorilor, numirea în funcţii de conducere a magistraţilor, transferul şi suspendarea din funcţie a magistraţilor</w:t>
            </w:r>
            <w:r w:rsidR="002F62A5">
              <w:rPr>
                <w:rFonts w:ascii="Trebuchet MS" w:hAnsi="Trebuchet MS"/>
                <w:bCs/>
                <w:lang w:val="ro-RO"/>
              </w:rPr>
              <w:t>.</w:t>
            </w:r>
          </w:p>
          <w:p w:rsidR="002F62A5" w:rsidRPr="002F62A5" w:rsidRDefault="002F62A5" w:rsidP="002F62A5">
            <w:pPr>
              <w:pStyle w:val="ListParagraph"/>
              <w:spacing w:after="0" w:afterAutospacing="0" w:line="276" w:lineRule="auto"/>
              <w:jc w:val="both"/>
              <w:rPr>
                <w:rFonts w:ascii="Trebuchet MS" w:hAnsi="Trebuchet MS"/>
                <w:bCs/>
                <w:lang w:val="ro-RO"/>
              </w:rPr>
            </w:pPr>
          </w:p>
          <w:p w:rsidR="000A1A99" w:rsidRDefault="002B64CC" w:rsidP="00386657">
            <w:pPr>
              <w:pStyle w:val="ListParagraph"/>
              <w:numPr>
                <w:ilvl w:val="0"/>
                <w:numId w:val="6"/>
              </w:numPr>
              <w:spacing w:after="0" w:afterAutospacing="0" w:line="276" w:lineRule="auto"/>
              <w:jc w:val="both"/>
              <w:rPr>
                <w:rFonts w:ascii="Trebuchet MS" w:hAnsi="Trebuchet MS"/>
                <w:bCs/>
                <w:lang w:val="ro-RO"/>
              </w:rPr>
            </w:pPr>
            <w:r w:rsidRPr="002F62A5">
              <w:rPr>
                <w:rFonts w:ascii="Trebuchet MS" w:hAnsi="Trebuchet MS"/>
                <w:bCs/>
                <w:lang w:val="ro-RO"/>
              </w:rPr>
              <w:t>Având calitatea de magistra</w:t>
            </w:r>
            <w:r w:rsidR="005170AA" w:rsidRPr="002F62A5">
              <w:rPr>
                <w:rFonts w:ascii="Trebuchet MS" w:hAnsi="Trebuchet MS"/>
                <w:bCs/>
                <w:lang w:val="ro-RO"/>
              </w:rPr>
              <w:t>ţi</w:t>
            </w:r>
            <w:r w:rsidRPr="002F62A5">
              <w:rPr>
                <w:rFonts w:ascii="Trebuchet MS" w:hAnsi="Trebuchet MS"/>
                <w:bCs/>
                <w:lang w:val="ro-RO"/>
              </w:rPr>
              <w:t>, legea a prevăzut expres că judecătorii şi procurorii, inclusiv membrii aleşi ai Consiliului Superior al Magistraturii, nu pot avea calitatea de demnitar</w:t>
            </w:r>
            <w:r w:rsidR="00162C15" w:rsidRPr="002F62A5">
              <w:rPr>
                <w:rFonts w:ascii="Trebuchet MS" w:hAnsi="Trebuchet MS"/>
                <w:bCs/>
                <w:lang w:val="ro-RO"/>
              </w:rPr>
              <w:t>i</w:t>
            </w:r>
            <w:r w:rsidR="002F62A5">
              <w:rPr>
                <w:rFonts w:ascii="Trebuchet MS" w:hAnsi="Trebuchet MS"/>
                <w:bCs/>
                <w:lang w:val="ro-RO"/>
              </w:rPr>
              <w:t>.</w:t>
            </w:r>
          </w:p>
          <w:p w:rsidR="002F62A5" w:rsidRPr="002F62A5" w:rsidRDefault="002F62A5" w:rsidP="00AD2EC8">
            <w:pPr>
              <w:pStyle w:val="ListParagraph"/>
              <w:spacing w:after="0" w:afterAutospacing="0" w:line="276" w:lineRule="auto"/>
              <w:jc w:val="both"/>
              <w:rPr>
                <w:rFonts w:ascii="Trebuchet MS" w:hAnsi="Trebuchet MS"/>
                <w:bCs/>
                <w:lang w:val="ro-RO"/>
              </w:rPr>
            </w:pPr>
          </w:p>
          <w:p w:rsidR="00722502" w:rsidRDefault="000A1A99" w:rsidP="00386657">
            <w:pPr>
              <w:pStyle w:val="ListParagraph"/>
              <w:numPr>
                <w:ilvl w:val="0"/>
                <w:numId w:val="6"/>
              </w:numPr>
              <w:spacing w:after="0" w:afterAutospacing="0" w:line="276" w:lineRule="auto"/>
              <w:jc w:val="both"/>
              <w:rPr>
                <w:rFonts w:ascii="Trebuchet MS" w:hAnsi="Trebuchet MS"/>
                <w:bCs/>
                <w:lang w:val="ro-RO"/>
              </w:rPr>
            </w:pPr>
            <w:r w:rsidRPr="002F62A5">
              <w:rPr>
                <w:rFonts w:ascii="Trebuchet MS" w:hAnsi="Trebuchet MS"/>
                <w:bCs/>
                <w:lang w:val="ro-RO"/>
              </w:rPr>
              <w:t>Reglementarea la nivel primar a tuturor aspectelor care privesc cariera magistraţilor în acord cu deciziile Curţii Constituţionale în materie: admiterea în magistratură, stagiul şi examenul de capacitate, numirea magistraţilor, promovarea acestora,</w:t>
            </w:r>
            <w:r w:rsidR="00EE2471" w:rsidRPr="002F62A5">
              <w:rPr>
                <w:rFonts w:ascii="Trebuchet MS" w:hAnsi="Trebuchet MS"/>
                <w:bCs/>
                <w:lang w:val="ro-RO"/>
              </w:rPr>
              <w:t xml:space="preserve"> efectivă sau pe loc,</w:t>
            </w:r>
            <w:r w:rsidRPr="002F62A5">
              <w:rPr>
                <w:rFonts w:ascii="Trebuchet MS" w:hAnsi="Trebuchet MS"/>
                <w:bCs/>
                <w:lang w:val="ro-RO"/>
              </w:rPr>
              <w:t xml:space="preserve"> </w:t>
            </w:r>
            <w:r w:rsidR="00722502" w:rsidRPr="002F62A5">
              <w:rPr>
                <w:rFonts w:ascii="Trebuchet MS" w:hAnsi="Trebuchet MS"/>
                <w:bCs/>
                <w:lang w:val="ro-RO"/>
              </w:rPr>
              <w:t xml:space="preserve">evaluarea şi formarea profesională, </w:t>
            </w:r>
            <w:r w:rsidRPr="002F62A5">
              <w:rPr>
                <w:rFonts w:ascii="Trebuchet MS" w:hAnsi="Trebuchet MS"/>
                <w:bCs/>
                <w:lang w:val="ro-RO"/>
              </w:rPr>
              <w:t>numirea în funcţii de  conducere,</w:t>
            </w:r>
            <w:r w:rsidR="00722502" w:rsidRPr="002F62A5">
              <w:rPr>
                <w:rFonts w:ascii="Trebuchet MS" w:hAnsi="Trebuchet MS"/>
                <w:bCs/>
                <w:lang w:val="ro-RO"/>
              </w:rPr>
              <w:t xml:space="preserve"> revocarea din aceste funcţii,</w:t>
            </w:r>
            <w:r w:rsidRPr="002F62A5">
              <w:rPr>
                <w:rFonts w:ascii="Trebuchet MS" w:hAnsi="Trebuchet MS"/>
                <w:bCs/>
                <w:lang w:val="ro-RO"/>
              </w:rPr>
              <w:t xml:space="preserve"> delegarea, detaşarea</w:t>
            </w:r>
            <w:r w:rsidR="00E42D07" w:rsidRPr="002F62A5">
              <w:rPr>
                <w:rFonts w:ascii="Trebuchet MS" w:hAnsi="Trebuchet MS"/>
                <w:bCs/>
                <w:lang w:val="ro-RO"/>
              </w:rPr>
              <w:t>,</w:t>
            </w:r>
            <w:r w:rsidRPr="002F62A5">
              <w:rPr>
                <w:rFonts w:ascii="Trebuchet MS" w:hAnsi="Trebuchet MS"/>
                <w:bCs/>
                <w:lang w:val="ro-RO"/>
              </w:rPr>
              <w:t xml:space="preserve"> transferul, numirea judecătorilor în </w:t>
            </w:r>
            <w:r w:rsidRPr="002F62A5">
              <w:rPr>
                <w:rFonts w:ascii="Trebuchet MS" w:hAnsi="Trebuchet MS"/>
                <w:bCs/>
                <w:lang w:val="ro-RO"/>
              </w:rPr>
              <w:lastRenderedPageBreak/>
              <w:t xml:space="preserve">funcţia de procuror şi a procurorilor în funcţia de judecător. </w:t>
            </w:r>
            <w:r w:rsidR="00C50F5C" w:rsidRPr="002F62A5">
              <w:rPr>
                <w:rFonts w:ascii="Trebuchet MS" w:hAnsi="Trebuchet MS"/>
                <w:bCs/>
                <w:lang w:val="ro-RO"/>
              </w:rPr>
              <w:t>În acest sens, au fost preluate la nivel de lege, adaptate şi sistematizate</w:t>
            </w:r>
            <w:r w:rsidR="004714D5" w:rsidRPr="002F62A5">
              <w:rPr>
                <w:rFonts w:ascii="Trebuchet MS" w:hAnsi="Trebuchet MS"/>
                <w:bCs/>
                <w:lang w:val="ro-RO"/>
              </w:rPr>
              <w:t xml:space="preserve"> sub aspectul conţinutului normativ</w:t>
            </w:r>
            <w:r w:rsidR="00C50F5C" w:rsidRPr="002F62A5">
              <w:rPr>
                <w:rFonts w:ascii="Trebuchet MS" w:hAnsi="Trebuchet MS"/>
                <w:bCs/>
                <w:lang w:val="ro-RO"/>
              </w:rPr>
              <w:t>, toate reglementările subsecvente cuprinse în regulamente ale Plenului ori Secţiilor Consiliului Superior al Magistraturii</w:t>
            </w:r>
            <w:r w:rsidR="00722502" w:rsidRPr="002F62A5">
              <w:rPr>
                <w:rFonts w:ascii="Trebuchet MS" w:hAnsi="Trebuchet MS"/>
                <w:bCs/>
                <w:lang w:val="ro-RO"/>
              </w:rPr>
              <w:t xml:space="preserve"> care privesc aspectele menţionate mai sus, inclusiv procedurile</w:t>
            </w:r>
            <w:r w:rsidR="00E1078E" w:rsidRPr="002F62A5">
              <w:rPr>
                <w:rFonts w:ascii="Trebuchet MS" w:hAnsi="Trebuchet MS"/>
                <w:bCs/>
                <w:lang w:val="ro-RO"/>
              </w:rPr>
              <w:t xml:space="preserve"> corespunzătoare</w:t>
            </w:r>
            <w:r w:rsidR="00C50F5C" w:rsidRPr="002F62A5">
              <w:rPr>
                <w:rFonts w:ascii="Trebuchet MS" w:hAnsi="Trebuchet MS"/>
                <w:bCs/>
                <w:lang w:val="ro-RO"/>
              </w:rPr>
              <w:t xml:space="preserve">. </w:t>
            </w:r>
            <w:r w:rsidR="000459CD" w:rsidRPr="002F62A5">
              <w:rPr>
                <w:rFonts w:ascii="Trebuchet MS" w:hAnsi="Trebuchet MS"/>
                <w:bCs/>
                <w:lang w:val="ro-RO"/>
              </w:rPr>
              <w:t>În această materie</w:t>
            </w:r>
            <w:r w:rsidR="00D03A50" w:rsidRPr="002F62A5">
              <w:rPr>
                <w:rFonts w:ascii="Trebuchet MS" w:hAnsi="Trebuchet MS"/>
                <w:bCs/>
                <w:lang w:val="ro-RO"/>
              </w:rPr>
              <w:t xml:space="preserve"> a fost întărit rolul Institutului Naţional al Magistraturii în organizarea concursurilor şi examenelor. Astfel, în vederea creşterii obiectivităţii modului de desemnare a membrilor comisiilor de concurs sau examen,  </w:t>
            </w:r>
            <w:r w:rsidR="000459CD" w:rsidRPr="002F62A5">
              <w:rPr>
                <w:rFonts w:ascii="Trebuchet MS" w:hAnsi="Trebuchet MS"/>
                <w:bCs/>
                <w:lang w:val="ro-RO"/>
              </w:rPr>
              <w:t>Consiliul ştiinţific al Institutului Naţional al Magistraturii</w:t>
            </w:r>
            <w:r w:rsidR="005D5B1A" w:rsidRPr="002F62A5">
              <w:rPr>
                <w:rFonts w:ascii="Trebuchet MS" w:hAnsi="Trebuchet MS"/>
                <w:bCs/>
                <w:lang w:val="ro-RO"/>
              </w:rPr>
              <w:t xml:space="preserve"> </w:t>
            </w:r>
            <w:r w:rsidR="00D03A50" w:rsidRPr="002F62A5">
              <w:rPr>
                <w:rFonts w:ascii="Trebuchet MS" w:hAnsi="Trebuchet MS"/>
                <w:bCs/>
                <w:lang w:val="ro-RO"/>
              </w:rPr>
              <w:t>va numi</w:t>
            </w:r>
            <w:r w:rsidR="005D5B1A" w:rsidRPr="002F62A5">
              <w:rPr>
                <w:rFonts w:ascii="Trebuchet MS" w:hAnsi="Trebuchet MS"/>
                <w:bCs/>
                <w:lang w:val="ro-RO"/>
              </w:rPr>
              <w:t xml:space="preserve"> comisiil</w:t>
            </w:r>
            <w:r w:rsidR="00D03A50" w:rsidRPr="002F62A5">
              <w:rPr>
                <w:rFonts w:ascii="Trebuchet MS" w:hAnsi="Trebuchet MS"/>
                <w:bCs/>
                <w:lang w:val="ro-RO"/>
              </w:rPr>
              <w:t>e</w:t>
            </w:r>
            <w:r w:rsidR="005D5B1A" w:rsidRPr="002F62A5">
              <w:rPr>
                <w:rFonts w:ascii="Trebuchet MS" w:hAnsi="Trebuchet MS"/>
                <w:bCs/>
                <w:lang w:val="ro-RO"/>
              </w:rPr>
              <w:t xml:space="preserve"> </w:t>
            </w:r>
            <w:r w:rsidR="0059353E" w:rsidRPr="002F62A5">
              <w:rPr>
                <w:rFonts w:ascii="Trebuchet MS" w:hAnsi="Trebuchet MS"/>
                <w:bCs/>
                <w:lang w:val="ro-RO"/>
              </w:rPr>
              <w:t>de concurs, cum sunt cele de</w:t>
            </w:r>
            <w:r w:rsidR="005D5B1A" w:rsidRPr="002F62A5">
              <w:rPr>
                <w:rFonts w:ascii="Trebuchet MS" w:hAnsi="Trebuchet MS"/>
                <w:bCs/>
                <w:lang w:val="ro-RO"/>
              </w:rPr>
              <w:t xml:space="preserve"> corectare, examinare, interviu sau a celor de </w:t>
            </w:r>
            <w:r w:rsidR="00D03A50" w:rsidRPr="002F62A5">
              <w:rPr>
                <w:rFonts w:ascii="Trebuchet MS" w:hAnsi="Trebuchet MS"/>
                <w:bCs/>
                <w:lang w:val="ro-RO"/>
              </w:rPr>
              <w:t xml:space="preserve">soluţionare a </w:t>
            </w:r>
            <w:r w:rsidR="005D5B1A" w:rsidRPr="002F62A5">
              <w:rPr>
                <w:rFonts w:ascii="Trebuchet MS" w:hAnsi="Trebuchet MS"/>
                <w:bCs/>
                <w:lang w:val="ro-RO"/>
              </w:rPr>
              <w:t>contes</w:t>
            </w:r>
            <w:r w:rsidR="00AC2372" w:rsidRPr="002F62A5">
              <w:rPr>
                <w:rFonts w:ascii="Trebuchet MS" w:hAnsi="Trebuchet MS"/>
                <w:bCs/>
                <w:lang w:val="ro-RO"/>
              </w:rPr>
              <w:t>t</w:t>
            </w:r>
            <w:r w:rsidR="005D5B1A" w:rsidRPr="002F62A5">
              <w:rPr>
                <w:rFonts w:ascii="Trebuchet MS" w:hAnsi="Trebuchet MS"/>
                <w:bCs/>
                <w:lang w:val="ro-RO"/>
              </w:rPr>
              <w:t>aţii</w:t>
            </w:r>
            <w:r w:rsidR="00D03A50" w:rsidRPr="002F62A5">
              <w:rPr>
                <w:rFonts w:ascii="Trebuchet MS" w:hAnsi="Trebuchet MS"/>
                <w:bCs/>
                <w:lang w:val="ro-RO"/>
              </w:rPr>
              <w:t>lor</w:t>
            </w:r>
            <w:r w:rsidR="005D5B1A" w:rsidRPr="002F62A5">
              <w:rPr>
                <w:rFonts w:ascii="Trebuchet MS" w:hAnsi="Trebuchet MS"/>
                <w:bCs/>
                <w:lang w:val="ro-RO"/>
              </w:rPr>
              <w:t>, urmând ca Plenul Consiliului să aibă</w:t>
            </w:r>
            <w:r w:rsidR="00D03A50" w:rsidRPr="002F62A5">
              <w:rPr>
                <w:rFonts w:ascii="Trebuchet MS" w:hAnsi="Trebuchet MS"/>
                <w:bCs/>
                <w:lang w:val="ro-RO"/>
              </w:rPr>
              <w:t xml:space="preserve"> atribuţiile care rezultă din rolul său de garant al independenţei justiţiei </w:t>
            </w:r>
            <w:r w:rsidR="00AC2372" w:rsidRPr="002F62A5">
              <w:rPr>
                <w:rFonts w:ascii="Trebuchet MS" w:hAnsi="Trebuchet MS"/>
                <w:bCs/>
                <w:lang w:val="ro-RO"/>
              </w:rPr>
              <w:t xml:space="preserve">(validarea concursurilor şi a examenelor, propunerile de numire şi, după caz, numirea şi promovarea magistraţilor ori </w:t>
            </w:r>
            <w:r w:rsidR="005D5B1A" w:rsidRPr="002F62A5">
              <w:rPr>
                <w:rFonts w:ascii="Trebuchet MS" w:hAnsi="Trebuchet MS"/>
                <w:bCs/>
                <w:lang w:val="ro-RO"/>
              </w:rPr>
              <w:t xml:space="preserve"> atribuţia numirii com</w:t>
            </w:r>
            <w:r w:rsidR="00AC2372" w:rsidRPr="002F62A5">
              <w:rPr>
                <w:rFonts w:ascii="Trebuchet MS" w:hAnsi="Trebuchet MS"/>
                <w:bCs/>
                <w:lang w:val="ro-RO"/>
              </w:rPr>
              <w:t>i</w:t>
            </w:r>
            <w:r w:rsidR="005D5B1A" w:rsidRPr="002F62A5">
              <w:rPr>
                <w:rFonts w:ascii="Trebuchet MS" w:hAnsi="Trebuchet MS"/>
                <w:bCs/>
                <w:lang w:val="ro-RO"/>
              </w:rPr>
              <w:t>siilor de organizare a concursului/examenului</w:t>
            </w:r>
            <w:r w:rsidR="00AC2372" w:rsidRPr="002F62A5">
              <w:rPr>
                <w:rFonts w:ascii="Trebuchet MS" w:hAnsi="Trebuchet MS"/>
                <w:bCs/>
                <w:lang w:val="ro-RO"/>
              </w:rPr>
              <w:t>).</w:t>
            </w:r>
          </w:p>
          <w:p w:rsidR="002F62A5" w:rsidRPr="002F62A5" w:rsidRDefault="002F62A5" w:rsidP="002F62A5">
            <w:pPr>
              <w:pStyle w:val="ListParagraph"/>
              <w:spacing w:after="0" w:afterAutospacing="0" w:line="276" w:lineRule="auto"/>
              <w:jc w:val="both"/>
              <w:rPr>
                <w:rFonts w:ascii="Trebuchet MS" w:hAnsi="Trebuchet MS"/>
                <w:bCs/>
                <w:lang w:val="ro-RO"/>
              </w:rPr>
            </w:pPr>
          </w:p>
          <w:p w:rsidR="00722502" w:rsidRDefault="00722502" w:rsidP="00722502">
            <w:pPr>
              <w:pStyle w:val="ListParagraph"/>
              <w:numPr>
                <w:ilvl w:val="0"/>
                <w:numId w:val="6"/>
              </w:numPr>
              <w:spacing w:after="0" w:afterAutospacing="0" w:line="276" w:lineRule="auto"/>
              <w:jc w:val="both"/>
              <w:rPr>
                <w:rFonts w:ascii="Trebuchet MS" w:hAnsi="Trebuchet MS"/>
                <w:bCs/>
                <w:lang w:val="ro-RO"/>
              </w:rPr>
            </w:pPr>
            <w:r w:rsidRPr="002F62A5">
              <w:rPr>
                <w:rFonts w:ascii="Trebuchet MS" w:hAnsi="Trebuchet MS"/>
                <w:bCs/>
                <w:lang w:val="ro-RO"/>
              </w:rPr>
              <w:t>Reglementarea la nivel de lege a procedurii de evaluare profesională a magistraţilor şi a criteriilor de evaluare.</w:t>
            </w:r>
          </w:p>
          <w:p w:rsidR="002F62A5" w:rsidRPr="002F62A5" w:rsidRDefault="002F62A5" w:rsidP="002F62A5">
            <w:pPr>
              <w:pStyle w:val="ListParagraph"/>
              <w:spacing w:after="0" w:afterAutospacing="0" w:line="276" w:lineRule="auto"/>
              <w:jc w:val="both"/>
              <w:rPr>
                <w:rFonts w:ascii="Trebuchet MS" w:hAnsi="Trebuchet MS"/>
                <w:bCs/>
                <w:lang w:val="ro-RO"/>
              </w:rPr>
            </w:pPr>
          </w:p>
          <w:p w:rsidR="005E5CDC" w:rsidRDefault="0059353E" w:rsidP="00386657">
            <w:pPr>
              <w:pStyle w:val="ListParagraph"/>
              <w:numPr>
                <w:ilvl w:val="0"/>
                <w:numId w:val="6"/>
              </w:numPr>
              <w:spacing w:after="0" w:afterAutospacing="0" w:line="276" w:lineRule="auto"/>
              <w:jc w:val="both"/>
              <w:rPr>
                <w:rFonts w:ascii="Trebuchet MS" w:hAnsi="Trebuchet MS"/>
                <w:bCs/>
                <w:lang w:val="ro-RO"/>
              </w:rPr>
            </w:pPr>
            <w:r w:rsidRPr="002F62A5">
              <w:rPr>
                <w:rFonts w:ascii="Trebuchet MS" w:hAnsi="Trebuchet MS"/>
                <w:bCs/>
                <w:lang w:val="ro-RO"/>
              </w:rPr>
              <w:t>Profesionalizarea procesului de selecţie a magistraţilor se realizează şi prin eliminarea oricăror modalităţi alternative de intrare în magistratură fără concurs (</w:t>
            </w:r>
            <w:r w:rsidR="009D4CC8" w:rsidRPr="002F62A5">
              <w:rPr>
                <w:rFonts w:ascii="Trebuchet MS" w:hAnsi="Trebuchet MS"/>
                <w:bCs/>
                <w:lang w:val="ro-RO"/>
              </w:rPr>
              <w:t xml:space="preserve">de exemplu, </w:t>
            </w:r>
            <w:r w:rsidRPr="002F62A5">
              <w:rPr>
                <w:rFonts w:ascii="Trebuchet MS" w:hAnsi="Trebuchet MS"/>
                <w:bCs/>
                <w:lang w:val="ro-RO"/>
              </w:rPr>
              <w:t>prin interviu), cu excepţia magistraţilor pensionari care pot fi reîncadraţi fără concurs după pensionare la instanţe sau parchete care nu pot funcţiona normal din cauza numărului mare de posturi vacante.</w:t>
            </w:r>
          </w:p>
          <w:p w:rsidR="002F62A5" w:rsidRPr="002F62A5" w:rsidRDefault="002F62A5" w:rsidP="002F62A5">
            <w:pPr>
              <w:pStyle w:val="ListParagraph"/>
              <w:spacing w:after="0" w:afterAutospacing="0" w:line="276" w:lineRule="auto"/>
              <w:jc w:val="both"/>
              <w:rPr>
                <w:rFonts w:ascii="Trebuchet MS" w:hAnsi="Trebuchet MS"/>
                <w:bCs/>
                <w:lang w:val="ro-RO"/>
              </w:rPr>
            </w:pPr>
          </w:p>
          <w:p w:rsidR="0059353E" w:rsidRDefault="005E5CDC" w:rsidP="00386657">
            <w:pPr>
              <w:pStyle w:val="ListParagraph"/>
              <w:numPr>
                <w:ilvl w:val="0"/>
                <w:numId w:val="6"/>
              </w:numPr>
              <w:spacing w:after="0" w:afterAutospacing="0" w:line="276" w:lineRule="auto"/>
              <w:jc w:val="both"/>
              <w:rPr>
                <w:rFonts w:ascii="Trebuchet MS" w:hAnsi="Trebuchet MS"/>
                <w:bCs/>
                <w:lang w:val="ro-RO"/>
              </w:rPr>
            </w:pPr>
            <w:r w:rsidRPr="002F62A5">
              <w:rPr>
                <w:rFonts w:ascii="Trebuchet MS" w:hAnsi="Trebuchet MS"/>
                <w:bCs/>
                <w:lang w:val="ro-RO"/>
              </w:rPr>
              <w:t xml:space="preserve">Instituirea la nivel de lege a duratei minime a stagiilor de practică la Institutul Naţional al Magistraturii, având în vedere importanţa care trebuie acordată pregătirii sub aspect practic a viitorilor magistraţi. </w:t>
            </w:r>
            <w:r w:rsidR="0059353E" w:rsidRPr="002F62A5">
              <w:rPr>
                <w:rFonts w:ascii="Trebuchet MS" w:hAnsi="Trebuchet MS"/>
                <w:bCs/>
                <w:lang w:val="ro-RO"/>
              </w:rPr>
              <w:t xml:space="preserve"> </w:t>
            </w:r>
          </w:p>
          <w:p w:rsidR="002F62A5" w:rsidRPr="002F62A5" w:rsidRDefault="002F62A5" w:rsidP="002F62A5">
            <w:pPr>
              <w:pStyle w:val="ListParagraph"/>
              <w:spacing w:after="0" w:afterAutospacing="0" w:line="276" w:lineRule="auto"/>
              <w:jc w:val="both"/>
              <w:rPr>
                <w:rFonts w:ascii="Trebuchet MS" w:hAnsi="Trebuchet MS"/>
                <w:bCs/>
                <w:lang w:val="ro-RO"/>
              </w:rPr>
            </w:pPr>
          </w:p>
          <w:p w:rsidR="000A1A99" w:rsidRPr="002F62A5" w:rsidRDefault="000A1A99" w:rsidP="00386657">
            <w:pPr>
              <w:pStyle w:val="ListParagraph"/>
              <w:numPr>
                <w:ilvl w:val="0"/>
                <w:numId w:val="6"/>
              </w:numPr>
              <w:spacing w:after="0" w:afterAutospacing="0" w:line="276" w:lineRule="auto"/>
              <w:jc w:val="both"/>
              <w:rPr>
                <w:rFonts w:ascii="Trebuchet MS" w:hAnsi="Trebuchet MS"/>
                <w:bCs/>
                <w:lang w:val="ro-RO"/>
              </w:rPr>
            </w:pPr>
            <w:r w:rsidRPr="002F62A5">
              <w:rPr>
                <w:rFonts w:ascii="Trebuchet MS" w:hAnsi="Trebuchet MS"/>
                <w:bCs/>
                <w:lang w:val="ro-RO"/>
              </w:rPr>
              <w:t xml:space="preserve">Punerea de acord a soluţiilor legislative cu recomandările organismelor europene:  </w:t>
            </w:r>
          </w:p>
          <w:p w:rsidR="00236B1C" w:rsidRPr="002F62A5" w:rsidRDefault="00181C43" w:rsidP="00386657">
            <w:pPr>
              <w:pStyle w:val="ListParagraph"/>
              <w:numPr>
                <w:ilvl w:val="0"/>
                <w:numId w:val="11"/>
              </w:numPr>
              <w:spacing w:after="0" w:afterAutospacing="0" w:line="276" w:lineRule="auto"/>
              <w:jc w:val="both"/>
              <w:rPr>
                <w:rFonts w:ascii="Trebuchet MS" w:hAnsi="Trebuchet MS"/>
                <w:bCs/>
                <w:lang w:val="ro-RO"/>
              </w:rPr>
            </w:pPr>
            <w:r w:rsidRPr="002F62A5">
              <w:rPr>
                <w:rFonts w:ascii="Trebuchet MS" w:hAnsi="Trebuchet MS"/>
                <w:bCs/>
                <w:lang w:val="ro-RO"/>
              </w:rPr>
              <w:t>Eliminarea schemei de pensionare anticipată a magistraţilor</w:t>
            </w:r>
            <w:r w:rsidR="00D239FB" w:rsidRPr="002F62A5">
              <w:rPr>
                <w:rFonts w:ascii="Trebuchet MS" w:hAnsi="Trebuchet MS"/>
                <w:bCs/>
                <w:lang w:val="ro-RO"/>
              </w:rPr>
              <w:t>, măsură care, alătur</w:t>
            </w:r>
            <w:r w:rsidR="001B6425" w:rsidRPr="002F62A5">
              <w:rPr>
                <w:rFonts w:ascii="Trebuchet MS" w:hAnsi="Trebuchet MS"/>
                <w:bCs/>
                <w:lang w:val="ro-RO"/>
              </w:rPr>
              <w:t>i</w:t>
            </w:r>
            <w:r w:rsidR="00D239FB" w:rsidRPr="002F62A5">
              <w:rPr>
                <w:rFonts w:ascii="Trebuchet MS" w:hAnsi="Trebuchet MS"/>
                <w:bCs/>
                <w:lang w:val="ro-RO"/>
              </w:rPr>
              <w:t xml:space="preserve"> de măsura menţinerii duratei cur</w:t>
            </w:r>
            <w:r w:rsidR="001B6425" w:rsidRPr="002F62A5">
              <w:rPr>
                <w:rFonts w:ascii="Trebuchet MS" w:hAnsi="Trebuchet MS"/>
                <w:bCs/>
                <w:lang w:val="ro-RO"/>
              </w:rPr>
              <w:t>s</w:t>
            </w:r>
            <w:r w:rsidR="00D239FB" w:rsidRPr="002F62A5">
              <w:rPr>
                <w:rFonts w:ascii="Trebuchet MS" w:hAnsi="Trebuchet MS"/>
                <w:bCs/>
                <w:lang w:val="ro-RO"/>
              </w:rPr>
              <w:t>urilor de formare la Institutul Naţional al Magistraturii</w:t>
            </w:r>
            <w:r w:rsidR="001B6425" w:rsidRPr="002F62A5">
              <w:rPr>
                <w:rFonts w:ascii="Trebuchet MS" w:hAnsi="Trebuchet MS"/>
                <w:bCs/>
                <w:lang w:val="ro-RO"/>
              </w:rPr>
              <w:t xml:space="preserve"> de 2 ani</w:t>
            </w:r>
            <w:r w:rsidR="00D239FB" w:rsidRPr="002F62A5">
              <w:rPr>
                <w:rFonts w:ascii="Trebuchet MS" w:hAnsi="Trebuchet MS"/>
                <w:bCs/>
                <w:lang w:val="ro-RO"/>
              </w:rPr>
              <w:t xml:space="preserve"> şi a duratei stagiului</w:t>
            </w:r>
            <w:r w:rsidR="001B6425" w:rsidRPr="002F62A5">
              <w:rPr>
                <w:rFonts w:ascii="Trebuchet MS" w:hAnsi="Trebuchet MS"/>
                <w:bCs/>
                <w:lang w:val="ro-RO"/>
              </w:rPr>
              <w:t xml:space="preserve"> de 1 an</w:t>
            </w:r>
            <w:r w:rsidR="00D239FB" w:rsidRPr="002F62A5">
              <w:rPr>
                <w:rFonts w:ascii="Trebuchet MS" w:hAnsi="Trebuchet MS"/>
                <w:bCs/>
                <w:lang w:val="ro-RO"/>
              </w:rPr>
              <w:t xml:space="preserve">, </w:t>
            </w:r>
            <w:r w:rsidR="001B6425" w:rsidRPr="002F62A5">
              <w:rPr>
                <w:rFonts w:ascii="Trebuchet MS" w:hAnsi="Trebuchet MS"/>
                <w:bCs/>
                <w:lang w:val="ro-RO"/>
              </w:rPr>
              <w:t>este de natură să înlăture riscurile de ieşire din sistem a magistraţilor cu experienţă şi de creare a unor blocaje grave în sistem determinate de lipsa resurselor umane pentru o perioadă destul de mare de timp</w:t>
            </w:r>
            <w:r w:rsidR="002616BA" w:rsidRPr="002F62A5">
              <w:rPr>
                <w:rFonts w:ascii="Trebuchet MS" w:hAnsi="Trebuchet MS"/>
                <w:bCs/>
                <w:lang w:val="ro-RO"/>
              </w:rPr>
              <w:t>;</w:t>
            </w:r>
          </w:p>
          <w:p w:rsidR="00181C43" w:rsidRPr="002F62A5" w:rsidRDefault="00C205CD" w:rsidP="00386657">
            <w:pPr>
              <w:pStyle w:val="ListParagraph"/>
              <w:numPr>
                <w:ilvl w:val="0"/>
                <w:numId w:val="11"/>
              </w:numPr>
              <w:spacing w:after="0" w:afterAutospacing="0" w:line="276" w:lineRule="auto"/>
              <w:jc w:val="both"/>
              <w:rPr>
                <w:rFonts w:ascii="Trebuchet MS" w:hAnsi="Trebuchet MS"/>
                <w:bCs/>
                <w:lang w:val="ro-RO"/>
              </w:rPr>
            </w:pPr>
            <w:r w:rsidRPr="002F62A5">
              <w:rPr>
                <w:rFonts w:ascii="Trebuchet MS" w:hAnsi="Trebuchet MS"/>
                <w:bCs/>
                <w:lang w:val="ro-RO"/>
              </w:rPr>
              <w:t xml:space="preserve">Întărirea principiului independenţei procurorilor în activitatea judiciară, prin revenirea la forma anterioară Legii nr. 242/2018 </w:t>
            </w:r>
            <w:r w:rsidRPr="002F62A5">
              <w:rPr>
                <w:rFonts w:ascii="Trebuchet MS" w:hAnsi="Trebuchet MS"/>
                <w:bCs/>
                <w:lang w:val="ro-RO"/>
              </w:rPr>
              <w:lastRenderedPageBreak/>
              <w:t>în această materie</w:t>
            </w:r>
            <w:r w:rsidR="00BC7849" w:rsidRPr="002F62A5">
              <w:rPr>
                <w:rFonts w:ascii="Trebuchet MS" w:hAnsi="Trebuchet MS"/>
                <w:bCs/>
                <w:lang w:val="ro-RO"/>
              </w:rPr>
              <w:t>, dar şi prin reluarea la nivel de lege a dispoziţiilor constituţionale în materie;</w:t>
            </w:r>
          </w:p>
          <w:p w:rsidR="00386657" w:rsidRPr="002F62A5" w:rsidRDefault="00C205CD" w:rsidP="00386657">
            <w:pPr>
              <w:pStyle w:val="ListParagraph"/>
              <w:numPr>
                <w:ilvl w:val="0"/>
                <w:numId w:val="11"/>
              </w:numPr>
              <w:spacing w:after="0" w:afterAutospacing="0" w:line="276" w:lineRule="auto"/>
              <w:jc w:val="both"/>
              <w:rPr>
                <w:rFonts w:ascii="Trebuchet MS" w:hAnsi="Trebuchet MS"/>
                <w:bCs/>
                <w:lang w:val="ro-RO"/>
              </w:rPr>
            </w:pPr>
            <w:r w:rsidRPr="002F62A5">
              <w:rPr>
                <w:rFonts w:ascii="Trebuchet MS" w:hAnsi="Trebuchet MS"/>
                <w:bCs/>
                <w:lang w:val="ro-RO"/>
              </w:rPr>
              <w:t>Micşorarea pragului de vechime impus procurorilor cu funcţii de conducere de rang înalt;</w:t>
            </w:r>
            <w:r w:rsidR="00E84FA2" w:rsidRPr="002F62A5">
              <w:rPr>
                <w:rFonts w:ascii="Trebuchet MS" w:hAnsi="Trebuchet MS"/>
                <w:bCs/>
                <w:lang w:val="ro-RO"/>
              </w:rPr>
              <w:t xml:space="preserve"> </w:t>
            </w:r>
          </w:p>
          <w:p w:rsidR="00386657" w:rsidRPr="002F62A5" w:rsidRDefault="00E84FA2" w:rsidP="00386657">
            <w:pPr>
              <w:pStyle w:val="ListParagraph"/>
              <w:numPr>
                <w:ilvl w:val="0"/>
                <w:numId w:val="11"/>
              </w:numPr>
              <w:spacing w:after="0" w:afterAutospacing="0" w:line="276" w:lineRule="auto"/>
              <w:jc w:val="both"/>
              <w:rPr>
                <w:rFonts w:ascii="Trebuchet MS" w:hAnsi="Trebuchet MS"/>
                <w:bCs/>
                <w:lang w:val="ro-RO"/>
              </w:rPr>
            </w:pPr>
            <w:r w:rsidRPr="002F62A5">
              <w:rPr>
                <w:rFonts w:ascii="Trebuchet MS" w:hAnsi="Trebuchet MS"/>
                <w:bCs/>
                <w:lang w:val="ro-RO"/>
              </w:rPr>
              <w:t>Reglementarea la nivelul legii a procedurii de selecţi</w:t>
            </w:r>
            <w:r w:rsidR="00D239FB" w:rsidRPr="002F62A5">
              <w:rPr>
                <w:rFonts w:ascii="Trebuchet MS" w:hAnsi="Trebuchet MS"/>
                <w:bCs/>
                <w:lang w:val="ro-RO"/>
              </w:rPr>
              <w:t>e</w:t>
            </w:r>
            <w:r w:rsidRPr="002F62A5">
              <w:rPr>
                <w:rFonts w:ascii="Trebuchet MS" w:hAnsi="Trebuchet MS"/>
                <w:bCs/>
                <w:lang w:val="ro-RO"/>
              </w:rPr>
              <w:t xml:space="preserve"> şi a unor criterii obiective şi transparente de selecţie a procurorilor cu funcţii de conducere de rang înalt; </w:t>
            </w:r>
            <w:r w:rsidR="00386657" w:rsidRPr="002F62A5">
              <w:rPr>
                <w:rFonts w:ascii="Trebuchet MS" w:hAnsi="Trebuchet MS"/>
                <w:bCs/>
                <w:lang w:val="ro-RO"/>
              </w:rPr>
              <w:t>în cadrul procedurii, Preşedintele României</w:t>
            </w:r>
            <w:r w:rsidR="00A9450E" w:rsidRPr="002F62A5">
              <w:rPr>
                <w:rFonts w:ascii="Trebuchet MS" w:hAnsi="Trebuchet MS"/>
                <w:bCs/>
                <w:lang w:val="ro-RO"/>
              </w:rPr>
              <w:t xml:space="preserve"> </w:t>
            </w:r>
            <w:r w:rsidR="00386657" w:rsidRPr="002F62A5">
              <w:rPr>
                <w:rFonts w:ascii="Trebuchet MS" w:hAnsi="Trebuchet MS"/>
                <w:iCs/>
                <w:lang w:val="ro-RO"/>
              </w:rPr>
              <w:t>poate refuza, motivat, numirea în</w:t>
            </w:r>
            <w:r w:rsidR="00A9450E" w:rsidRPr="002F62A5">
              <w:rPr>
                <w:rFonts w:ascii="Trebuchet MS" w:hAnsi="Trebuchet MS"/>
                <w:iCs/>
                <w:lang w:val="ro-RO"/>
              </w:rPr>
              <w:t xml:space="preserve"> aceste funcţii (prevăzute la art. 145 alin. (1) din proiect)</w:t>
            </w:r>
            <w:r w:rsidR="00386657" w:rsidRPr="002F62A5">
              <w:rPr>
                <w:rFonts w:ascii="Trebuchet MS" w:hAnsi="Trebuchet MS"/>
                <w:iCs/>
                <w:lang w:val="ro-RO"/>
              </w:rPr>
              <w:t>, aducând la cunoştinţa publicului motivele refuzului.</w:t>
            </w:r>
            <w:r w:rsidR="00386657" w:rsidRPr="002F62A5">
              <w:rPr>
                <w:rFonts w:ascii="Trebuchet MS" w:hAnsi="Trebuchet MS"/>
                <w:lang w:val="ro-RO"/>
              </w:rPr>
              <w:t xml:space="preserve"> Decretul Preşedintelui României de numire în funcţie sau refuzul motivat al acestuia se emit în maximum 60 de zile de la data transmiterii propunerii de către ministrul justiţiei.</w:t>
            </w:r>
          </w:p>
          <w:p w:rsidR="00386657" w:rsidRPr="002F62A5" w:rsidRDefault="001B6425" w:rsidP="00386657">
            <w:pPr>
              <w:pStyle w:val="ListParagraph"/>
              <w:numPr>
                <w:ilvl w:val="0"/>
                <w:numId w:val="11"/>
              </w:numPr>
              <w:spacing w:after="0" w:afterAutospacing="0" w:line="276" w:lineRule="auto"/>
              <w:jc w:val="both"/>
              <w:rPr>
                <w:rFonts w:ascii="Trebuchet MS" w:hAnsi="Trebuchet MS"/>
                <w:bCs/>
                <w:lang w:val="ro-RO"/>
              </w:rPr>
            </w:pPr>
            <w:r w:rsidRPr="002F62A5">
              <w:rPr>
                <w:rFonts w:ascii="Trebuchet MS" w:hAnsi="Trebuchet MS"/>
                <w:bCs/>
                <w:lang w:val="ro-RO"/>
              </w:rPr>
              <w:t>Creşterea durat</w:t>
            </w:r>
            <w:r w:rsidR="00EE2471" w:rsidRPr="002F62A5">
              <w:rPr>
                <w:rFonts w:ascii="Trebuchet MS" w:hAnsi="Trebuchet MS"/>
                <w:bCs/>
                <w:lang w:val="ro-RO"/>
              </w:rPr>
              <w:t>e</w:t>
            </w:r>
            <w:r w:rsidRPr="002F62A5">
              <w:rPr>
                <w:rFonts w:ascii="Trebuchet MS" w:hAnsi="Trebuchet MS"/>
                <w:bCs/>
                <w:lang w:val="ro-RO"/>
              </w:rPr>
              <w:t>i mandatului pentru funcţiile de conducere de rang înalt în cadrul Ministerului Public, de la 3 la 4 ani, în acord cu recomandarea Comisiei de la Veneţia</w:t>
            </w:r>
            <w:r w:rsidR="00D9140A" w:rsidRPr="002F62A5">
              <w:rPr>
                <w:rFonts w:ascii="Trebuchet MS" w:hAnsi="Trebuchet MS"/>
                <w:bCs/>
                <w:lang w:val="ro-RO"/>
              </w:rPr>
              <w:t xml:space="preserve"> în acest sens</w:t>
            </w:r>
            <w:r w:rsidRPr="002F62A5">
              <w:rPr>
                <w:rFonts w:ascii="Trebuchet MS" w:hAnsi="Trebuchet MS"/>
                <w:bCs/>
                <w:lang w:val="ro-RO"/>
              </w:rPr>
              <w:t>;</w:t>
            </w:r>
          </w:p>
          <w:p w:rsidR="00386657" w:rsidRPr="002F62A5" w:rsidRDefault="0026313B" w:rsidP="00386657">
            <w:pPr>
              <w:pStyle w:val="ListParagraph"/>
              <w:numPr>
                <w:ilvl w:val="0"/>
                <w:numId w:val="11"/>
              </w:numPr>
              <w:spacing w:after="0" w:afterAutospacing="0" w:line="276" w:lineRule="auto"/>
              <w:jc w:val="both"/>
              <w:rPr>
                <w:rFonts w:ascii="Trebuchet MS" w:hAnsi="Trebuchet MS"/>
                <w:bCs/>
                <w:lang w:val="ro-RO"/>
              </w:rPr>
            </w:pPr>
            <w:r w:rsidRPr="002F62A5">
              <w:rPr>
                <w:rFonts w:ascii="Trebuchet MS" w:hAnsi="Trebuchet MS"/>
                <w:iCs/>
                <w:lang w:val="ro-RO"/>
              </w:rPr>
              <w:t xml:space="preserve">Prevedea expresă a posibilităţii procurorului revocat din funcţia de conducere de rang înalt de a ataca decretul Preşedintelui României de revocare din funcţie la </w:t>
            </w:r>
            <w:r w:rsidR="00D9140A" w:rsidRPr="002F62A5">
              <w:rPr>
                <w:rFonts w:ascii="Trebuchet MS" w:hAnsi="Trebuchet MS"/>
                <w:iCs/>
                <w:lang w:val="ro-RO"/>
              </w:rPr>
              <w:t>instanţa de contencios administrativ competentă, în condiţiile legii, fără parcurgerea procedurii prealabile. În cadrul procesului, instanţa va putea verifica legalitatea şi temeinicia propunerii ministrului justiţiei de revocare din funcţia de conducere</w:t>
            </w:r>
            <w:r w:rsidR="000E3A4C" w:rsidRPr="002F62A5">
              <w:rPr>
                <w:rFonts w:ascii="Trebuchet MS" w:hAnsi="Trebuchet MS"/>
                <w:iCs/>
                <w:lang w:val="ro-RO"/>
              </w:rPr>
              <w:t>;</w:t>
            </w:r>
            <w:r w:rsidR="00386657" w:rsidRPr="002F62A5">
              <w:rPr>
                <w:rFonts w:ascii="Trebuchet MS" w:hAnsi="Trebuchet MS"/>
                <w:iCs/>
                <w:lang w:val="ro-RO"/>
              </w:rPr>
              <w:t xml:space="preserve"> ţinând seama de jurisprudenţa Curţii Constituţionale în materie, s-a prevăzut că Preşedintele României poate refuza, doar pentru motive de legalitate, revocarea din funcţiile de conducere prevăzute la art. 145 alin. (1)</w:t>
            </w:r>
            <w:r w:rsidR="006E5801">
              <w:rPr>
                <w:rFonts w:ascii="Trebuchet MS" w:hAnsi="Trebuchet MS"/>
                <w:iCs/>
                <w:lang w:val="ro-RO"/>
              </w:rPr>
              <w:t xml:space="preserve"> din proiect</w:t>
            </w:r>
            <w:r w:rsidR="00386657" w:rsidRPr="002F62A5">
              <w:rPr>
                <w:rFonts w:ascii="Trebuchet MS" w:hAnsi="Trebuchet MS"/>
                <w:iCs/>
                <w:lang w:val="ro-RO"/>
              </w:rPr>
              <w:t>, aducând la cunoştinţa publicului motivele refuzului.</w:t>
            </w:r>
          </w:p>
          <w:p w:rsidR="00C205CD" w:rsidRPr="002F62A5" w:rsidRDefault="00C205CD" w:rsidP="00386657">
            <w:pPr>
              <w:pStyle w:val="ListParagraph"/>
              <w:numPr>
                <w:ilvl w:val="0"/>
                <w:numId w:val="11"/>
              </w:numPr>
              <w:spacing w:after="0" w:afterAutospacing="0" w:line="276" w:lineRule="auto"/>
              <w:jc w:val="both"/>
              <w:rPr>
                <w:rFonts w:ascii="Trebuchet MS" w:hAnsi="Trebuchet MS"/>
                <w:bCs/>
                <w:lang w:val="ro-RO"/>
              </w:rPr>
            </w:pPr>
            <w:r w:rsidRPr="002F62A5">
              <w:rPr>
                <w:rFonts w:ascii="Trebuchet MS" w:hAnsi="Trebuchet MS"/>
                <w:bCs/>
                <w:lang w:val="ro-RO"/>
              </w:rPr>
              <w:t>Eliminarea r</w:t>
            </w:r>
            <w:r w:rsidR="00257C57" w:rsidRPr="002F62A5">
              <w:rPr>
                <w:rFonts w:ascii="Trebuchet MS" w:hAnsi="Trebuchet MS"/>
                <w:bCs/>
                <w:lang w:val="ro-RO"/>
              </w:rPr>
              <w:t>estricţiilor</w:t>
            </w:r>
            <w:r w:rsidRPr="002F62A5">
              <w:rPr>
                <w:rFonts w:ascii="Trebuchet MS" w:hAnsi="Trebuchet MS"/>
                <w:bCs/>
                <w:lang w:val="ro-RO"/>
              </w:rPr>
              <w:t xml:space="preserve"> care pri</w:t>
            </w:r>
            <w:r w:rsidR="002616BA" w:rsidRPr="002F62A5">
              <w:rPr>
                <w:rFonts w:ascii="Trebuchet MS" w:hAnsi="Trebuchet MS"/>
                <w:bCs/>
                <w:lang w:val="ro-RO"/>
              </w:rPr>
              <w:t>vesc</w:t>
            </w:r>
            <w:r w:rsidRPr="002F62A5">
              <w:rPr>
                <w:rFonts w:ascii="Trebuchet MS" w:hAnsi="Trebuchet MS"/>
                <w:bCs/>
                <w:lang w:val="ro-RO"/>
              </w:rPr>
              <w:t xml:space="preserve"> libertatea de exprimare a magistraţilor, int</w:t>
            </w:r>
            <w:r w:rsidR="00D239FB" w:rsidRPr="002F62A5">
              <w:rPr>
                <w:rFonts w:ascii="Trebuchet MS" w:hAnsi="Trebuchet MS"/>
                <w:bCs/>
                <w:lang w:val="ro-RO"/>
              </w:rPr>
              <w:t>roduse</w:t>
            </w:r>
            <w:r w:rsidRPr="002F62A5">
              <w:rPr>
                <w:rFonts w:ascii="Trebuchet MS" w:hAnsi="Trebuchet MS"/>
                <w:bCs/>
                <w:lang w:val="ro-RO"/>
              </w:rPr>
              <w:t xml:space="preserve"> prin</w:t>
            </w:r>
            <w:r w:rsidR="008C0E95" w:rsidRPr="002F62A5">
              <w:rPr>
                <w:rFonts w:ascii="Trebuchet MS" w:hAnsi="Trebuchet MS"/>
                <w:bCs/>
                <w:lang w:val="ro-RO"/>
              </w:rPr>
              <w:t xml:space="preserve"> art. 9 alin. (3)</w:t>
            </w:r>
            <w:r w:rsidR="006E5801">
              <w:rPr>
                <w:rFonts w:ascii="Trebuchet MS" w:hAnsi="Trebuchet MS"/>
                <w:bCs/>
                <w:lang w:val="ro-RO"/>
              </w:rPr>
              <w:t xml:space="preserve"> din Legea nr. 303/2004</w:t>
            </w:r>
            <w:r w:rsidR="008C0E95" w:rsidRPr="002F62A5">
              <w:rPr>
                <w:rFonts w:ascii="Trebuchet MS" w:hAnsi="Trebuchet MS"/>
                <w:bCs/>
                <w:lang w:val="ro-RO"/>
              </w:rPr>
              <w:t xml:space="preserve">, astfel cum a fost modificat prin </w:t>
            </w:r>
            <w:r w:rsidRPr="002F62A5">
              <w:rPr>
                <w:rFonts w:ascii="Trebuchet MS" w:hAnsi="Trebuchet MS"/>
                <w:bCs/>
                <w:lang w:val="ro-RO"/>
              </w:rPr>
              <w:t>Legea</w:t>
            </w:r>
            <w:r w:rsidR="008C0E95" w:rsidRPr="002F62A5">
              <w:rPr>
                <w:rFonts w:ascii="Trebuchet MS" w:hAnsi="Trebuchet MS"/>
                <w:bCs/>
                <w:lang w:val="ro-RO"/>
              </w:rPr>
              <w:t xml:space="preserve"> </w:t>
            </w:r>
            <w:r w:rsidRPr="002F62A5">
              <w:rPr>
                <w:rFonts w:ascii="Trebuchet MS" w:hAnsi="Trebuchet MS"/>
                <w:bCs/>
                <w:lang w:val="ro-RO"/>
              </w:rPr>
              <w:t>nr. 242/2018</w:t>
            </w:r>
            <w:r w:rsidR="000E3A4C" w:rsidRPr="002F62A5">
              <w:rPr>
                <w:rFonts w:ascii="Trebuchet MS" w:hAnsi="Trebuchet MS"/>
                <w:bCs/>
                <w:lang w:val="ro-RO"/>
              </w:rPr>
              <w:t>;</w:t>
            </w:r>
          </w:p>
          <w:p w:rsidR="00C205CD" w:rsidRPr="002F62A5" w:rsidRDefault="002616BA" w:rsidP="00386657">
            <w:pPr>
              <w:pStyle w:val="ListParagraph"/>
              <w:numPr>
                <w:ilvl w:val="0"/>
                <w:numId w:val="11"/>
              </w:numPr>
              <w:spacing w:after="0" w:afterAutospacing="0" w:line="276" w:lineRule="auto"/>
              <w:jc w:val="both"/>
              <w:rPr>
                <w:rFonts w:ascii="Trebuchet MS" w:hAnsi="Trebuchet MS"/>
                <w:bCs/>
                <w:lang w:val="ro-RO"/>
              </w:rPr>
            </w:pPr>
            <w:r w:rsidRPr="002F62A5">
              <w:rPr>
                <w:rFonts w:ascii="Trebuchet MS" w:hAnsi="Trebuchet MS"/>
                <w:bCs/>
                <w:lang w:val="ro-RO"/>
              </w:rPr>
              <w:t xml:space="preserve">Întărirea rolului </w:t>
            </w:r>
            <w:r w:rsidR="00C205CD" w:rsidRPr="002F62A5">
              <w:rPr>
                <w:rFonts w:ascii="Trebuchet MS" w:hAnsi="Trebuchet MS"/>
                <w:bCs/>
                <w:lang w:val="ro-RO"/>
              </w:rPr>
              <w:t>rolul membrilor societăţii civile în cadrul Consiliului, aşa cum recomandă Comisia de la Veneţia prin Avizul nr. 950/2019</w:t>
            </w:r>
            <w:r w:rsidRPr="002F62A5">
              <w:rPr>
                <w:rFonts w:ascii="Trebuchet MS" w:hAnsi="Trebuchet MS"/>
                <w:bCs/>
                <w:lang w:val="ro-RO"/>
              </w:rPr>
              <w:t>, prin acordarea Plenului Consiliului Superior al Magistraturii a rolului preponderent în ceea ce priveşte cariera magistraţilor</w:t>
            </w:r>
            <w:r w:rsidR="000E3A4C" w:rsidRPr="002F62A5">
              <w:rPr>
                <w:rFonts w:ascii="Trebuchet MS" w:hAnsi="Trebuchet MS"/>
                <w:bCs/>
                <w:lang w:val="ro-RO"/>
              </w:rPr>
              <w:t>;</w:t>
            </w:r>
          </w:p>
          <w:p w:rsidR="00F6256A" w:rsidRPr="002F62A5" w:rsidRDefault="00257C57" w:rsidP="00386657">
            <w:pPr>
              <w:pStyle w:val="ListParagraph"/>
              <w:numPr>
                <w:ilvl w:val="0"/>
                <w:numId w:val="11"/>
              </w:numPr>
              <w:spacing w:after="0" w:afterAutospacing="0" w:line="276" w:lineRule="auto"/>
              <w:jc w:val="both"/>
              <w:rPr>
                <w:rFonts w:ascii="Trebuchet MS" w:hAnsi="Trebuchet MS"/>
                <w:bCs/>
                <w:lang w:val="ro-RO"/>
              </w:rPr>
            </w:pPr>
            <w:r w:rsidRPr="002F62A5">
              <w:rPr>
                <w:rFonts w:ascii="Trebuchet MS" w:hAnsi="Trebuchet MS"/>
                <w:bCs/>
                <w:lang w:val="ro-RO"/>
              </w:rPr>
              <w:t xml:space="preserve">Eliminarea </w:t>
            </w:r>
            <w:r w:rsidR="002616BA" w:rsidRPr="002F62A5">
              <w:rPr>
                <w:rFonts w:ascii="Trebuchet MS" w:hAnsi="Trebuchet MS"/>
                <w:bCs/>
                <w:lang w:val="ro-RO"/>
              </w:rPr>
              <w:t>rolului actual al</w:t>
            </w:r>
            <w:r w:rsidRPr="002F62A5">
              <w:rPr>
                <w:rFonts w:ascii="Trebuchet MS" w:hAnsi="Trebuchet MS"/>
                <w:bCs/>
                <w:lang w:val="ro-RO"/>
              </w:rPr>
              <w:t xml:space="preserve"> Ministerului Finanţelor Publice</w:t>
            </w:r>
            <w:r w:rsidR="00737936" w:rsidRPr="002F62A5">
              <w:rPr>
                <w:rFonts w:ascii="Trebuchet MS" w:hAnsi="Trebuchet MS"/>
                <w:bCs/>
                <w:lang w:val="ro-RO"/>
              </w:rPr>
              <w:t>, instituţie din afara aut</w:t>
            </w:r>
            <w:r w:rsidR="002616BA" w:rsidRPr="002F62A5">
              <w:rPr>
                <w:rFonts w:ascii="Trebuchet MS" w:hAnsi="Trebuchet MS"/>
                <w:bCs/>
                <w:lang w:val="ro-RO"/>
              </w:rPr>
              <w:t>o</w:t>
            </w:r>
            <w:r w:rsidR="00737936" w:rsidRPr="002F62A5">
              <w:rPr>
                <w:rFonts w:ascii="Trebuchet MS" w:hAnsi="Trebuchet MS"/>
                <w:bCs/>
                <w:lang w:val="ro-RO"/>
              </w:rPr>
              <w:t>rităţii judecătoreşti,</w:t>
            </w:r>
            <w:r w:rsidRPr="002F62A5">
              <w:rPr>
                <w:rFonts w:ascii="Trebuchet MS" w:hAnsi="Trebuchet MS"/>
                <w:bCs/>
                <w:lang w:val="ro-RO"/>
              </w:rPr>
              <w:t xml:space="preserve"> în procedura de răspundere materială a magistraţilor </w:t>
            </w:r>
            <w:r w:rsidR="00737936" w:rsidRPr="002F62A5">
              <w:rPr>
                <w:rFonts w:ascii="Trebuchet MS" w:hAnsi="Trebuchet MS"/>
                <w:bCs/>
                <w:lang w:val="ro-RO"/>
              </w:rPr>
              <w:t xml:space="preserve">pentru </w:t>
            </w:r>
            <w:r w:rsidR="000E3A4C" w:rsidRPr="002F62A5">
              <w:rPr>
                <w:rFonts w:ascii="Trebuchet MS" w:hAnsi="Trebuchet MS"/>
                <w:bCs/>
                <w:lang w:val="ro-RO"/>
              </w:rPr>
              <w:t xml:space="preserve">erori judiciare săvârşite cu </w:t>
            </w:r>
            <w:r w:rsidR="00737936" w:rsidRPr="002F62A5">
              <w:rPr>
                <w:rFonts w:ascii="Trebuchet MS" w:hAnsi="Trebuchet MS"/>
                <w:bCs/>
                <w:lang w:val="ro-RO"/>
              </w:rPr>
              <w:t xml:space="preserve">rea-credinţă sau gravă neglijenţă şi acordarea unui rol central </w:t>
            </w:r>
            <w:r w:rsidR="002616BA" w:rsidRPr="002F62A5">
              <w:rPr>
                <w:rFonts w:ascii="Trebuchet MS" w:hAnsi="Trebuchet MS"/>
                <w:bCs/>
                <w:lang w:val="ro-RO"/>
              </w:rPr>
              <w:t xml:space="preserve">în această procedură </w:t>
            </w:r>
            <w:r w:rsidR="00737936" w:rsidRPr="002F62A5">
              <w:rPr>
                <w:rFonts w:ascii="Trebuchet MS" w:hAnsi="Trebuchet MS"/>
                <w:bCs/>
                <w:lang w:val="ro-RO"/>
              </w:rPr>
              <w:t>Plenului Consiliului Superior al Magistraturii</w:t>
            </w:r>
            <w:r w:rsidR="000E3A4C" w:rsidRPr="002F62A5">
              <w:rPr>
                <w:rFonts w:ascii="Trebuchet MS" w:hAnsi="Trebuchet MS"/>
                <w:bCs/>
                <w:lang w:val="ro-RO"/>
              </w:rPr>
              <w:t xml:space="preserve"> </w:t>
            </w:r>
            <w:r w:rsidR="002616BA" w:rsidRPr="002F62A5">
              <w:rPr>
                <w:rFonts w:ascii="Trebuchet MS" w:hAnsi="Trebuchet MS"/>
                <w:bCs/>
                <w:lang w:val="ro-RO"/>
              </w:rPr>
              <w:t xml:space="preserve">în calitate de </w:t>
            </w:r>
            <w:r w:rsidR="00737936" w:rsidRPr="002F62A5">
              <w:rPr>
                <w:rFonts w:ascii="Trebuchet MS" w:hAnsi="Trebuchet MS"/>
                <w:bCs/>
                <w:lang w:val="ro-RO"/>
              </w:rPr>
              <w:t xml:space="preserve">garant al independenţei justiţiei </w:t>
            </w:r>
            <w:r w:rsidR="002616BA" w:rsidRPr="002F62A5">
              <w:rPr>
                <w:rFonts w:ascii="Trebuchet MS" w:hAnsi="Trebuchet MS"/>
                <w:bCs/>
                <w:lang w:val="ro-RO"/>
              </w:rPr>
              <w:t xml:space="preserve"> </w:t>
            </w:r>
            <w:r w:rsidR="000E3A4C" w:rsidRPr="002F62A5">
              <w:rPr>
                <w:rFonts w:ascii="Trebuchet MS" w:hAnsi="Trebuchet MS"/>
                <w:bCs/>
                <w:lang w:val="ro-RO"/>
              </w:rPr>
              <w:t>(iar nu Inspecţiei Judiciare</w:t>
            </w:r>
            <w:r w:rsidR="00BC7849" w:rsidRPr="002F62A5">
              <w:rPr>
                <w:rFonts w:ascii="Trebuchet MS" w:hAnsi="Trebuchet MS"/>
                <w:bCs/>
                <w:lang w:val="ro-RO"/>
              </w:rPr>
              <w:t>, aşa cum este în prezent</w:t>
            </w:r>
            <w:r w:rsidR="000E3A4C" w:rsidRPr="002F62A5">
              <w:rPr>
                <w:rFonts w:ascii="Trebuchet MS" w:hAnsi="Trebuchet MS"/>
                <w:bCs/>
                <w:lang w:val="ro-RO"/>
              </w:rPr>
              <w:t>);</w:t>
            </w:r>
          </w:p>
          <w:p w:rsidR="00F6256A" w:rsidRPr="002F62A5" w:rsidRDefault="00F6256A" w:rsidP="00386657">
            <w:pPr>
              <w:pStyle w:val="ListParagraph"/>
              <w:numPr>
                <w:ilvl w:val="0"/>
                <w:numId w:val="11"/>
              </w:numPr>
              <w:spacing w:after="0" w:afterAutospacing="0" w:line="276" w:lineRule="auto"/>
              <w:jc w:val="both"/>
              <w:rPr>
                <w:rFonts w:ascii="Trebuchet MS" w:hAnsi="Trebuchet MS"/>
                <w:bCs/>
                <w:lang w:val="ro-RO"/>
              </w:rPr>
            </w:pPr>
            <w:r w:rsidRPr="002F62A5">
              <w:rPr>
                <w:rFonts w:ascii="Trebuchet MS" w:hAnsi="Trebuchet MS"/>
                <w:bCs/>
                <w:lang w:val="ro-RO"/>
              </w:rPr>
              <w:t>î</w:t>
            </w:r>
            <w:r w:rsidR="00AF2BA8" w:rsidRPr="002F62A5">
              <w:rPr>
                <w:rFonts w:ascii="Trebuchet MS" w:hAnsi="Trebuchet MS"/>
                <w:bCs/>
                <w:lang w:val="ro-RO"/>
              </w:rPr>
              <w:t xml:space="preserve">n acord cu recomandarea Comisiei de la Veneţia (din Avizul cu nr. 924/2018, par. 52 şi 61), în vederea asigurării unui sistem de </w:t>
            </w:r>
            <w:r w:rsidR="00AF2BA8" w:rsidRPr="002F62A5">
              <w:rPr>
                <w:rFonts w:ascii="Trebuchet MS" w:hAnsi="Trebuchet MS"/>
                <w:bCs/>
                <w:i/>
                <w:lang w:val="ro-RO"/>
              </w:rPr>
              <w:t>checks and balances</w:t>
            </w:r>
            <w:r w:rsidR="00AF2BA8" w:rsidRPr="002F62A5">
              <w:rPr>
                <w:rFonts w:ascii="Trebuchet MS" w:hAnsi="Trebuchet MS"/>
                <w:bCs/>
                <w:lang w:val="ro-RO"/>
              </w:rPr>
              <w:t xml:space="preserve"> în procedura  de numire în funcţii de </w:t>
            </w:r>
            <w:r w:rsidR="002D461F" w:rsidRPr="002F62A5">
              <w:rPr>
                <w:rFonts w:ascii="Trebuchet MS" w:hAnsi="Trebuchet MS"/>
                <w:bCs/>
                <w:lang w:val="ro-RO"/>
              </w:rPr>
              <w:lastRenderedPageBreak/>
              <w:t xml:space="preserve">conducere </w:t>
            </w:r>
            <w:r w:rsidR="00AF2BA8" w:rsidRPr="002F62A5">
              <w:rPr>
                <w:rFonts w:ascii="Trebuchet MS" w:hAnsi="Trebuchet MS"/>
                <w:bCs/>
                <w:lang w:val="ro-RO"/>
              </w:rPr>
              <w:t>de rang înalt</w:t>
            </w:r>
            <w:r w:rsidR="002D461F" w:rsidRPr="002F62A5">
              <w:rPr>
                <w:rFonts w:ascii="Trebuchet MS" w:hAnsi="Trebuchet MS"/>
                <w:bCs/>
                <w:lang w:val="ro-RO"/>
              </w:rPr>
              <w:t xml:space="preserve"> la parchete, a fost eliminată posibilitatea Preşedintelui de a refuza doar o singură dat</w:t>
            </w:r>
            <w:r w:rsidR="00681D48" w:rsidRPr="002F62A5">
              <w:rPr>
                <w:rFonts w:ascii="Trebuchet MS" w:hAnsi="Trebuchet MS"/>
                <w:bCs/>
                <w:lang w:val="ro-RO"/>
              </w:rPr>
              <w:t>ă</w:t>
            </w:r>
            <w:r w:rsidR="002D461F" w:rsidRPr="002F62A5">
              <w:rPr>
                <w:rFonts w:ascii="Trebuchet MS" w:hAnsi="Trebuchet MS"/>
                <w:bCs/>
                <w:lang w:val="ro-RO"/>
              </w:rPr>
              <w:t xml:space="preserve"> aceste numiri. </w:t>
            </w:r>
            <w:r w:rsidRPr="002F62A5">
              <w:rPr>
                <w:rFonts w:ascii="Trebuchet MS" w:hAnsi="Trebuchet MS"/>
                <w:bCs/>
                <w:lang w:val="ro-RO"/>
              </w:rPr>
              <w:t>De asemenea, s-a instituit</w:t>
            </w:r>
            <w:r w:rsidR="00D76F5D" w:rsidRPr="002F62A5">
              <w:rPr>
                <w:rFonts w:ascii="Trebuchet MS" w:hAnsi="Trebuchet MS"/>
                <w:bCs/>
                <w:lang w:val="ro-RO"/>
              </w:rPr>
              <w:t xml:space="preserve"> o prevede</w:t>
            </w:r>
            <w:r w:rsidR="00784398" w:rsidRPr="002F62A5">
              <w:rPr>
                <w:rFonts w:ascii="Trebuchet MS" w:hAnsi="Trebuchet MS"/>
                <w:bCs/>
                <w:lang w:val="ro-RO"/>
              </w:rPr>
              <w:t>re</w:t>
            </w:r>
            <w:r w:rsidR="00D76F5D" w:rsidRPr="002F62A5">
              <w:rPr>
                <w:rFonts w:ascii="Trebuchet MS" w:hAnsi="Trebuchet MS"/>
                <w:bCs/>
                <w:lang w:val="ro-RO"/>
              </w:rPr>
              <w:t xml:space="preserve"> potrivit căr</w:t>
            </w:r>
            <w:r w:rsidR="00FC7668" w:rsidRPr="002F62A5">
              <w:rPr>
                <w:rFonts w:ascii="Trebuchet MS" w:hAnsi="Trebuchet MS"/>
                <w:bCs/>
                <w:lang w:val="ro-RO"/>
              </w:rPr>
              <w:t>e</w:t>
            </w:r>
            <w:r w:rsidR="00D76F5D" w:rsidRPr="002F62A5">
              <w:rPr>
                <w:rFonts w:ascii="Trebuchet MS" w:hAnsi="Trebuchet MS"/>
                <w:bCs/>
                <w:lang w:val="ro-RO"/>
              </w:rPr>
              <w:t>ia</w:t>
            </w:r>
            <w:r w:rsidRPr="002F62A5">
              <w:rPr>
                <w:rFonts w:ascii="Trebuchet MS" w:hAnsi="Trebuchet MS"/>
                <w:bCs/>
                <w:lang w:val="ro-RO"/>
              </w:rPr>
              <w:t xml:space="preserve"> </w:t>
            </w:r>
            <w:r w:rsidR="00AB595E" w:rsidRPr="002F62A5">
              <w:rPr>
                <w:rFonts w:ascii="Trebuchet MS" w:hAnsi="Trebuchet MS"/>
                <w:lang w:val="ro-RO"/>
              </w:rPr>
              <w:t>d</w:t>
            </w:r>
            <w:r w:rsidRPr="002F62A5">
              <w:rPr>
                <w:rFonts w:ascii="Trebuchet MS" w:hAnsi="Trebuchet MS"/>
                <w:lang w:val="ro-RO"/>
              </w:rPr>
              <w:t>ecretul Preşedintelui României de numire în funcţie sau refuzul motivat al acestuia se emit</w:t>
            </w:r>
            <w:r w:rsidR="00FC7668" w:rsidRPr="002F62A5">
              <w:rPr>
                <w:rFonts w:ascii="Trebuchet MS" w:hAnsi="Trebuchet MS"/>
                <w:lang w:val="ro-RO"/>
              </w:rPr>
              <w:t>e</w:t>
            </w:r>
            <w:r w:rsidRPr="002F62A5">
              <w:rPr>
                <w:rFonts w:ascii="Trebuchet MS" w:hAnsi="Trebuchet MS"/>
                <w:lang w:val="ro-RO"/>
              </w:rPr>
              <w:t xml:space="preserve"> în maximum 60 de zile de la data transmiterii propunerii de către ministrul justiţiei.</w:t>
            </w:r>
            <w:r w:rsidR="00AB595E" w:rsidRPr="002F62A5">
              <w:rPr>
                <w:rFonts w:ascii="Trebuchet MS" w:hAnsi="Trebuchet MS"/>
                <w:lang w:val="ro-RO"/>
              </w:rPr>
              <w:t xml:space="preserve"> </w:t>
            </w:r>
          </w:p>
          <w:p w:rsidR="002F62A5" w:rsidRPr="002F62A5" w:rsidRDefault="002F62A5" w:rsidP="002F62A5">
            <w:pPr>
              <w:pStyle w:val="ListParagraph"/>
              <w:spacing w:after="0" w:afterAutospacing="0" w:line="276" w:lineRule="auto"/>
              <w:jc w:val="both"/>
              <w:rPr>
                <w:rFonts w:ascii="Trebuchet MS" w:hAnsi="Trebuchet MS"/>
                <w:bCs/>
                <w:lang w:val="ro-RO"/>
              </w:rPr>
            </w:pPr>
          </w:p>
          <w:p w:rsidR="00D17306" w:rsidRDefault="00656591" w:rsidP="00386657">
            <w:pPr>
              <w:pStyle w:val="ListParagraph"/>
              <w:numPr>
                <w:ilvl w:val="0"/>
                <w:numId w:val="6"/>
              </w:numPr>
              <w:spacing w:after="0" w:afterAutospacing="0" w:line="276" w:lineRule="auto"/>
              <w:jc w:val="both"/>
              <w:rPr>
                <w:rFonts w:ascii="Trebuchet MS" w:hAnsi="Trebuchet MS"/>
                <w:bCs/>
                <w:lang w:val="ro-RO"/>
              </w:rPr>
            </w:pPr>
            <w:r w:rsidRPr="002F62A5">
              <w:rPr>
                <w:rFonts w:ascii="Trebuchet MS" w:hAnsi="Trebuchet MS"/>
                <w:bCs/>
                <w:lang w:val="ro-RO"/>
              </w:rPr>
              <w:t xml:space="preserve">Modificarea competenţei judecătorilor stagiari, în sensul lărgirii sferei de litigii care se judecă de </w:t>
            </w:r>
            <w:r w:rsidR="00374CFC" w:rsidRPr="002F62A5">
              <w:rPr>
                <w:rFonts w:ascii="Trebuchet MS" w:hAnsi="Trebuchet MS"/>
                <w:bCs/>
                <w:lang w:val="ro-RO"/>
              </w:rPr>
              <w:t>aceştia</w:t>
            </w:r>
            <w:r w:rsidR="00BC7849" w:rsidRPr="002F62A5">
              <w:rPr>
                <w:rFonts w:ascii="Trebuchet MS" w:hAnsi="Trebuchet MS"/>
                <w:bCs/>
                <w:lang w:val="ro-RO"/>
              </w:rPr>
              <w:t xml:space="preserve"> şi a creşterii pragului valoric al litigiilor ce vor fi în competenţa lor</w:t>
            </w:r>
            <w:r w:rsidRPr="002F62A5">
              <w:rPr>
                <w:rFonts w:ascii="Trebuchet MS" w:hAnsi="Trebuchet MS"/>
                <w:bCs/>
                <w:lang w:val="ro-RO"/>
              </w:rPr>
              <w:t xml:space="preserve">, având în vedere natura </w:t>
            </w:r>
            <w:r w:rsidR="00BC7849" w:rsidRPr="002F62A5">
              <w:rPr>
                <w:rFonts w:ascii="Trebuchet MS" w:hAnsi="Trebuchet MS"/>
                <w:bCs/>
                <w:lang w:val="ro-RO"/>
              </w:rPr>
              <w:t>cauzelor</w:t>
            </w:r>
            <w:r w:rsidRPr="002F62A5">
              <w:rPr>
                <w:rFonts w:ascii="Trebuchet MS" w:hAnsi="Trebuchet MS"/>
                <w:bCs/>
                <w:lang w:val="ro-RO"/>
              </w:rPr>
              <w:t xml:space="preserve"> respective care se caracterizează printr-un grad scăzut de complexitate</w:t>
            </w:r>
            <w:r w:rsidR="000459CD" w:rsidRPr="002F62A5">
              <w:rPr>
                <w:rFonts w:ascii="Trebuchet MS" w:hAnsi="Trebuchet MS"/>
                <w:bCs/>
                <w:lang w:val="ro-RO"/>
              </w:rPr>
              <w:t xml:space="preserve">, </w:t>
            </w:r>
            <w:r w:rsidR="00374CFC" w:rsidRPr="002F62A5">
              <w:rPr>
                <w:rFonts w:ascii="Trebuchet MS" w:hAnsi="Trebuchet MS"/>
                <w:bCs/>
                <w:lang w:val="ro-RO"/>
              </w:rPr>
              <w:t xml:space="preserve">asigurându-se o repartizare mai judicioasă a </w:t>
            </w:r>
            <w:r w:rsidR="00162C15" w:rsidRPr="002F62A5">
              <w:rPr>
                <w:rFonts w:ascii="Trebuchet MS" w:hAnsi="Trebuchet MS"/>
                <w:bCs/>
                <w:lang w:val="ro-RO"/>
              </w:rPr>
              <w:t>atribuţiilor</w:t>
            </w:r>
            <w:r w:rsidR="00374CFC" w:rsidRPr="002F62A5">
              <w:rPr>
                <w:rFonts w:ascii="Trebuchet MS" w:hAnsi="Trebuchet MS"/>
                <w:bCs/>
                <w:lang w:val="ro-RO"/>
              </w:rPr>
              <w:t xml:space="preserve"> între judecătorii care funcţionează la nivelul judecătoriilor</w:t>
            </w:r>
            <w:r w:rsidR="000459CD" w:rsidRPr="002F62A5">
              <w:rPr>
                <w:rFonts w:ascii="Trebuchet MS" w:hAnsi="Trebuchet MS"/>
                <w:bCs/>
                <w:lang w:val="ro-RO"/>
              </w:rPr>
              <w:t xml:space="preserve">. </w:t>
            </w:r>
          </w:p>
          <w:p w:rsidR="002F62A5" w:rsidRPr="002F62A5" w:rsidRDefault="002F62A5" w:rsidP="002F62A5">
            <w:pPr>
              <w:pStyle w:val="ListParagraph"/>
              <w:spacing w:after="0" w:afterAutospacing="0" w:line="276" w:lineRule="auto"/>
              <w:jc w:val="both"/>
              <w:rPr>
                <w:rFonts w:ascii="Trebuchet MS" w:hAnsi="Trebuchet MS"/>
                <w:bCs/>
                <w:lang w:val="ro-RO"/>
              </w:rPr>
            </w:pPr>
          </w:p>
          <w:p w:rsidR="000459CD" w:rsidRDefault="00BA0B4A" w:rsidP="00386657">
            <w:pPr>
              <w:pStyle w:val="ListParagraph"/>
              <w:numPr>
                <w:ilvl w:val="0"/>
                <w:numId w:val="6"/>
              </w:numPr>
              <w:spacing w:after="0" w:afterAutospacing="0" w:line="276" w:lineRule="auto"/>
              <w:jc w:val="both"/>
              <w:rPr>
                <w:rFonts w:ascii="Trebuchet MS" w:hAnsi="Trebuchet MS"/>
                <w:bCs/>
                <w:lang w:val="ro-RO"/>
              </w:rPr>
            </w:pPr>
            <w:r w:rsidRPr="002F62A5">
              <w:rPr>
                <w:rFonts w:ascii="Trebuchet MS" w:hAnsi="Trebuchet MS"/>
                <w:bCs/>
                <w:lang w:val="ro-RO"/>
              </w:rPr>
              <w:t>Unificarea criteriilor şi condiţiilor de promovare a magistraţilor şi instituirea unui sistem unic de promovare</w:t>
            </w:r>
            <w:r w:rsidR="00E2181B" w:rsidRPr="002F62A5">
              <w:rPr>
                <w:rFonts w:ascii="Trebuchet MS" w:hAnsi="Trebuchet MS"/>
                <w:bCs/>
                <w:lang w:val="ro-RO"/>
              </w:rPr>
              <w:t>, printr-un singur concurs de promovare (pe loc sau efectivă)</w:t>
            </w:r>
            <w:r w:rsidR="00D17306" w:rsidRPr="002F62A5">
              <w:rPr>
                <w:rFonts w:ascii="Trebuchet MS" w:hAnsi="Trebuchet MS"/>
                <w:bCs/>
                <w:lang w:val="ro-RO"/>
              </w:rPr>
              <w:t>, revenindu-se în principiu la reglementarea anterioară anului 2018</w:t>
            </w:r>
            <w:r w:rsidR="00E2181B" w:rsidRPr="002F62A5">
              <w:rPr>
                <w:rFonts w:ascii="Trebuchet MS" w:hAnsi="Trebuchet MS"/>
                <w:bCs/>
                <w:lang w:val="ro-RO"/>
              </w:rPr>
              <w:t>.</w:t>
            </w:r>
            <w:r w:rsidR="009D4CC8" w:rsidRPr="002F62A5">
              <w:rPr>
                <w:rFonts w:ascii="Trebuchet MS" w:hAnsi="Trebuchet MS"/>
                <w:bCs/>
                <w:lang w:val="ro-RO"/>
              </w:rPr>
              <w:t xml:space="preserve"> De as</w:t>
            </w:r>
            <w:r w:rsidR="00EA39C2" w:rsidRPr="002F62A5">
              <w:rPr>
                <w:rFonts w:ascii="Trebuchet MS" w:hAnsi="Trebuchet MS"/>
                <w:bCs/>
                <w:lang w:val="ro-RO"/>
              </w:rPr>
              <w:t>e</w:t>
            </w:r>
            <w:r w:rsidR="009D4CC8" w:rsidRPr="002F62A5">
              <w:rPr>
                <w:rFonts w:ascii="Trebuchet MS" w:hAnsi="Trebuchet MS"/>
                <w:bCs/>
                <w:lang w:val="ro-RO"/>
              </w:rPr>
              <w:t>menea, au fost corelate vechimile pentru promovare în</w:t>
            </w:r>
            <w:r w:rsidR="00AC61CD" w:rsidRPr="002F62A5">
              <w:rPr>
                <w:rFonts w:ascii="Trebuchet MS" w:hAnsi="Trebuchet MS"/>
                <w:bCs/>
                <w:lang w:val="ro-RO"/>
              </w:rPr>
              <w:t>tre</w:t>
            </w:r>
            <w:r w:rsidR="009D4CC8" w:rsidRPr="002F62A5">
              <w:rPr>
                <w:rFonts w:ascii="Trebuchet MS" w:hAnsi="Trebuchet MS"/>
                <w:bCs/>
                <w:lang w:val="ro-RO"/>
              </w:rPr>
              <w:t xml:space="preserve"> diferite funcţii din sistem, în raport de ierarhia instan</w:t>
            </w:r>
            <w:r w:rsidR="00EA39C2" w:rsidRPr="002F62A5">
              <w:rPr>
                <w:rFonts w:ascii="Trebuchet MS" w:hAnsi="Trebuchet MS"/>
                <w:bCs/>
                <w:lang w:val="ro-RO"/>
              </w:rPr>
              <w:t>ţ</w:t>
            </w:r>
            <w:r w:rsidR="009D4CC8" w:rsidRPr="002F62A5">
              <w:rPr>
                <w:rFonts w:ascii="Trebuchet MS" w:hAnsi="Trebuchet MS"/>
                <w:bCs/>
                <w:lang w:val="ro-RO"/>
              </w:rPr>
              <w:t xml:space="preserve">elor şi parchetelor, precum şi </w:t>
            </w:r>
            <w:r w:rsidR="00AC61CD" w:rsidRPr="002F62A5">
              <w:rPr>
                <w:rFonts w:ascii="Trebuchet MS" w:hAnsi="Trebuchet MS"/>
                <w:bCs/>
                <w:lang w:val="ro-RO"/>
              </w:rPr>
              <w:t xml:space="preserve">în raport </w:t>
            </w:r>
            <w:r w:rsidR="009D4CC8" w:rsidRPr="002F62A5">
              <w:rPr>
                <w:rFonts w:ascii="Trebuchet MS" w:hAnsi="Trebuchet MS"/>
                <w:bCs/>
                <w:lang w:val="ro-RO"/>
              </w:rPr>
              <w:t>cu vechimile în funcţii de conducere</w:t>
            </w:r>
            <w:r w:rsidR="002F62A5">
              <w:rPr>
                <w:rFonts w:ascii="Trebuchet MS" w:hAnsi="Trebuchet MS"/>
                <w:bCs/>
                <w:lang w:val="ro-RO"/>
              </w:rPr>
              <w:t>.</w:t>
            </w:r>
          </w:p>
          <w:p w:rsidR="002F62A5" w:rsidRPr="002F62A5" w:rsidRDefault="002F62A5" w:rsidP="002F62A5">
            <w:pPr>
              <w:spacing w:line="276" w:lineRule="auto"/>
              <w:jc w:val="both"/>
              <w:rPr>
                <w:rFonts w:ascii="Trebuchet MS" w:hAnsi="Trebuchet MS"/>
                <w:bCs/>
                <w:lang w:val="ro-RO"/>
              </w:rPr>
            </w:pPr>
          </w:p>
          <w:p w:rsidR="00E2181B" w:rsidRDefault="0054270E" w:rsidP="00386657">
            <w:pPr>
              <w:pStyle w:val="ListParagraph"/>
              <w:numPr>
                <w:ilvl w:val="0"/>
                <w:numId w:val="6"/>
              </w:numPr>
              <w:spacing w:after="0" w:afterAutospacing="0" w:line="276" w:lineRule="auto"/>
              <w:jc w:val="both"/>
              <w:rPr>
                <w:rFonts w:ascii="Trebuchet MS" w:hAnsi="Trebuchet MS"/>
                <w:bCs/>
                <w:lang w:val="ro-RO"/>
              </w:rPr>
            </w:pPr>
            <w:r w:rsidRPr="002F62A5">
              <w:rPr>
                <w:rFonts w:ascii="Trebuchet MS" w:hAnsi="Trebuchet MS"/>
                <w:bCs/>
                <w:lang w:val="ro-RO"/>
              </w:rPr>
              <w:t xml:space="preserve">Creşterea nivelului de exigenţă profesională şi obiectivitate în cazul promovării în funcţia de judecător la Înalta Curte de Casaţie şi Justiţie. În acest sens, a fost modificat sistemul </w:t>
            </w:r>
            <w:r w:rsidR="00E2181B" w:rsidRPr="002F62A5">
              <w:rPr>
                <w:rFonts w:ascii="Trebuchet MS" w:hAnsi="Trebuchet MS"/>
                <w:bCs/>
                <w:lang w:val="ro-RO"/>
              </w:rPr>
              <w:t xml:space="preserve">de acces la Înalta Curte de Casaţie şi Justiţie, prin revenirea la probe de concurs care să </w:t>
            </w:r>
            <w:r w:rsidR="00D03A50" w:rsidRPr="002F62A5">
              <w:rPr>
                <w:rFonts w:ascii="Trebuchet MS" w:hAnsi="Trebuchet MS"/>
                <w:bCs/>
                <w:lang w:val="ro-RO"/>
              </w:rPr>
              <w:t xml:space="preserve">reflecte respectarea, în primul rând, a criteriilor de competenţă profesională (pe lângă proba de concurs a interviului din prezent, care are un caracter subiectiv mai pronunţat,  candidaţii la aceste funcţii vor trebui să susţină şi o probă scrisă). </w:t>
            </w:r>
            <w:r w:rsidR="00AA0991" w:rsidRPr="002F62A5">
              <w:rPr>
                <w:rFonts w:ascii="Trebuchet MS" w:hAnsi="Trebuchet MS"/>
                <w:bCs/>
                <w:lang w:val="ro-RO"/>
              </w:rPr>
              <w:t>D</w:t>
            </w:r>
            <w:r w:rsidR="00D03A50" w:rsidRPr="002F62A5">
              <w:rPr>
                <w:rFonts w:ascii="Trebuchet MS" w:hAnsi="Trebuchet MS"/>
                <w:bCs/>
                <w:lang w:val="ro-RO"/>
              </w:rPr>
              <w:t>e asemenea, au fost aduse modificări şi în ceea ce priveşte componenţa comisiilor de concurs</w:t>
            </w:r>
            <w:r w:rsidR="00AA0991" w:rsidRPr="002F62A5">
              <w:rPr>
                <w:rFonts w:ascii="Trebuchet MS" w:hAnsi="Trebuchet MS"/>
                <w:bCs/>
                <w:lang w:val="ro-RO"/>
              </w:rPr>
              <w:t xml:space="preserve">, pentru asigurarea </w:t>
            </w:r>
            <w:r w:rsidRPr="002F62A5">
              <w:rPr>
                <w:rFonts w:ascii="Trebuchet MS" w:hAnsi="Trebuchet MS"/>
                <w:bCs/>
                <w:lang w:val="ro-RO"/>
              </w:rPr>
              <w:t>unui nivel mai mare de obiectivitate şi profesionalism</w:t>
            </w:r>
            <w:r w:rsidR="002F62A5">
              <w:rPr>
                <w:rFonts w:ascii="Trebuchet MS" w:hAnsi="Trebuchet MS"/>
                <w:bCs/>
                <w:lang w:val="ro-RO"/>
              </w:rPr>
              <w:t>.</w:t>
            </w:r>
          </w:p>
          <w:p w:rsidR="002F62A5" w:rsidRPr="002F62A5" w:rsidRDefault="002F62A5" w:rsidP="002F62A5">
            <w:pPr>
              <w:pStyle w:val="ListParagraph"/>
              <w:spacing w:after="0" w:afterAutospacing="0" w:line="276" w:lineRule="auto"/>
              <w:jc w:val="both"/>
              <w:rPr>
                <w:rFonts w:ascii="Trebuchet MS" w:hAnsi="Trebuchet MS"/>
                <w:bCs/>
                <w:lang w:val="ro-RO"/>
              </w:rPr>
            </w:pPr>
          </w:p>
          <w:p w:rsidR="00F851E0" w:rsidRDefault="00F846E0" w:rsidP="00386657">
            <w:pPr>
              <w:pStyle w:val="ListParagraph"/>
              <w:numPr>
                <w:ilvl w:val="0"/>
                <w:numId w:val="6"/>
              </w:numPr>
              <w:spacing w:after="0" w:afterAutospacing="0" w:line="276" w:lineRule="auto"/>
              <w:jc w:val="both"/>
              <w:rPr>
                <w:rFonts w:ascii="Trebuchet MS" w:hAnsi="Trebuchet MS"/>
                <w:bCs/>
                <w:lang w:val="ro-RO"/>
              </w:rPr>
            </w:pPr>
            <w:r w:rsidRPr="002F62A5">
              <w:rPr>
                <w:rFonts w:ascii="Trebuchet MS" w:hAnsi="Trebuchet MS"/>
                <w:bCs/>
                <w:lang w:val="ro-RO"/>
              </w:rPr>
              <w:t>Instituirea o</w:t>
            </w:r>
            <w:r w:rsidR="00743484" w:rsidRPr="002F62A5">
              <w:rPr>
                <w:rFonts w:ascii="Trebuchet MS" w:hAnsi="Trebuchet MS"/>
                <w:bCs/>
                <w:lang w:val="ro-RO"/>
              </w:rPr>
              <w:t>bl</w:t>
            </w:r>
            <w:r w:rsidRPr="002F62A5">
              <w:rPr>
                <w:rFonts w:ascii="Trebuchet MS" w:hAnsi="Trebuchet MS"/>
                <w:bCs/>
                <w:lang w:val="ro-RO"/>
              </w:rPr>
              <w:t>igaţiei pentru candidaţii care participă la concursul de promovare la Înalta Cur</w:t>
            </w:r>
            <w:r w:rsidR="00A9450E" w:rsidRPr="002F62A5">
              <w:rPr>
                <w:rFonts w:ascii="Trebuchet MS" w:hAnsi="Trebuchet MS"/>
                <w:bCs/>
                <w:lang w:val="ro-RO"/>
              </w:rPr>
              <w:t>t</w:t>
            </w:r>
            <w:r w:rsidRPr="002F62A5">
              <w:rPr>
                <w:rFonts w:ascii="Trebuchet MS" w:hAnsi="Trebuchet MS"/>
                <w:bCs/>
                <w:lang w:val="ro-RO"/>
              </w:rPr>
              <w:t>e de Casaţie şi Justiţie de a preciza, în cererea de înscriere la concurs, două specializări</w:t>
            </w:r>
            <w:r w:rsidR="002F62A5">
              <w:rPr>
                <w:rFonts w:ascii="Trebuchet MS" w:hAnsi="Trebuchet MS"/>
                <w:bCs/>
                <w:lang w:val="ro-RO"/>
              </w:rPr>
              <w:t>.</w:t>
            </w:r>
          </w:p>
          <w:p w:rsidR="002F62A5" w:rsidRPr="002F62A5" w:rsidRDefault="002F62A5" w:rsidP="002F62A5">
            <w:pPr>
              <w:pStyle w:val="ListParagraph"/>
              <w:spacing w:after="0" w:afterAutospacing="0" w:line="276" w:lineRule="auto"/>
              <w:jc w:val="both"/>
              <w:rPr>
                <w:rFonts w:ascii="Trebuchet MS" w:hAnsi="Trebuchet MS"/>
                <w:bCs/>
                <w:lang w:val="ro-RO"/>
              </w:rPr>
            </w:pPr>
          </w:p>
          <w:p w:rsidR="00F846E0" w:rsidRDefault="00F851E0" w:rsidP="00386657">
            <w:pPr>
              <w:pStyle w:val="ListParagraph"/>
              <w:numPr>
                <w:ilvl w:val="0"/>
                <w:numId w:val="6"/>
              </w:numPr>
              <w:spacing w:after="0" w:afterAutospacing="0" w:line="276" w:lineRule="auto"/>
              <w:jc w:val="both"/>
              <w:rPr>
                <w:rFonts w:ascii="Trebuchet MS" w:hAnsi="Trebuchet MS"/>
                <w:bCs/>
                <w:lang w:val="ro-RO"/>
              </w:rPr>
            </w:pPr>
            <w:r w:rsidRPr="002F62A5">
              <w:rPr>
                <w:rFonts w:ascii="Trebuchet MS" w:hAnsi="Trebuchet MS"/>
                <w:bCs/>
                <w:lang w:val="ro-RO"/>
              </w:rPr>
              <w:t>Uniformizarea disp</w:t>
            </w:r>
            <w:r w:rsidR="00D17306" w:rsidRPr="002F62A5">
              <w:rPr>
                <w:rFonts w:ascii="Trebuchet MS" w:hAnsi="Trebuchet MS"/>
                <w:bCs/>
                <w:lang w:val="ro-RO"/>
              </w:rPr>
              <w:t>o</w:t>
            </w:r>
            <w:r w:rsidRPr="002F62A5">
              <w:rPr>
                <w:rFonts w:ascii="Trebuchet MS" w:hAnsi="Trebuchet MS"/>
                <w:bCs/>
                <w:lang w:val="ro-RO"/>
              </w:rPr>
              <w:t>ziţiilor care instituie creşterea duratei mandatelor funcţiilor de conducere, de la 3 la 4 ani, în vederea asigurării continuităţii viziunii manageriale pe un termen mai lung care să permită realizarea obiectivelor asumate la numirea în funcţia de conducere;</w:t>
            </w:r>
            <w:r w:rsidR="009F04F9" w:rsidRPr="002F62A5">
              <w:rPr>
                <w:rFonts w:ascii="Trebuchet MS" w:hAnsi="Trebuchet MS"/>
                <w:bCs/>
                <w:lang w:val="ro-RO"/>
              </w:rPr>
              <w:t xml:space="preserve"> în acelaşi sens, s-a instituit dispoziţia </w:t>
            </w:r>
            <w:r w:rsidR="009F04F9" w:rsidRPr="002F62A5">
              <w:rPr>
                <w:rFonts w:ascii="Trebuchet MS" w:hAnsi="Trebuchet MS"/>
                <w:bCs/>
                <w:lang w:val="ro-RO"/>
              </w:rPr>
              <w:lastRenderedPageBreak/>
              <w:t>tranzitorie că prevederile acestei legi privind durata mandatelor nu afectează durata mandatelor în curs la data intrării sale în vigoare</w:t>
            </w:r>
            <w:r w:rsidR="002F62A5">
              <w:rPr>
                <w:rFonts w:ascii="Trebuchet MS" w:hAnsi="Trebuchet MS"/>
                <w:bCs/>
                <w:lang w:val="ro-RO"/>
              </w:rPr>
              <w:t>.</w:t>
            </w:r>
          </w:p>
          <w:p w:rsidR="002F62A5" w:rsidRPr="002F62A5" w:rsidRDefault="002F62A5" w:rsidP="002F62A5">
            <w:pPr>
              <w:pStyle w:val="ListParagraph"/>
              <w:spacing w:after="0" w:afterAutospacing="0" w:line="276" w:lineRule="auto"/>
              <w:jc w:val="both"/>
              <w:rPr>
                <w:rFonts w:ascii="Trebuchet MS" w:hAnsi="Trebuchet MS"/>
                <w:bCs/>
                <w:lang w:val="ro-RO"/>
              </w:rPr>
            </w:pPr>
          </w:p>
          <w:p w:rsidR="0042115C" w:rsidRDefault="00AC2372" w:rsidP="0042115C">
            <w:pPr>
              <w:pStyle w:val="ListParagraph"/>
              <w:numPr>
                <w:ilvl w:val="0"/>
                <w:numId w:val="6"/>
              </w:numPr>
              <w:spacing w:after="0" w:afterAutospacing="0" w:line="276" w:lineRule="auto"/>
              <w:jc w:val="both"/>
              <w:rPr>
                <w:rFonts w:ascii="Trebuchet MS" w:hAnsi="Trebuchet MS"/>
                <w:bCs/>
                <w:lang w:val="ro-RO"/>
              </w:rPr>
            </w:pPr>
            <w:r w:rsidRPr="002F62A5">
              <w:rPr>
                <w:rFonts w:ascii="Trebuchet MS" w:hAnsi="Trebuchet MS"/>
                <w:bCs/>
                <w:lang w:val="ro-RO"/>
              </w:rPr>
              <w:t xml:space="preserve">Flexibilizarea procedurilor de delegare şi detaşare </w:t>
            </w:r>
            <w:r w:rsidR="00AE4B72" w:rsidRPr="002F62A5">
              <w:rPr>
                <w:rFonts w:ascii="Trebuchet MS" w:hAnsi="Trebuchet MS"/>
                <w:bCs/>
                <w:lang w:val="ro-RO"/>
              </w:rPr>
              <w:t xml:space="preserve"> a magistraţilor, în raport cu nevoile sistemului. Astfel, delegarea în funcţii de conducere a procurorilor şi detaşarea acestora se va dispune de</w:t>
            </w:r>
            <w:r w:rsidR="00F8766F" w:rsidRPr="002F62A5">
              <w:rPr>
                <w:rFonts w:ascii="Trebuchet MS" w:hAnsi="Trebuchet MS"/>
                <w:bCs/>
                <w:lang w:val="ro-RO"/>
              </w:rPr>
              <w:t xml:space="preserve"> </w:t>
            </w:r>
            <w:r w:rsidR="00AE4B72" w:rsidRPr="002F62A5">
              <w:rPr>
                <w:rFonts w:ascii="Trebuchet MS" w:hAnsi="Trebuchet MS"/>
                <w:bCs/>
                <w:lang w:val="ro-RO"/>
              </w:rPr>
              <w:t>procurorul general al Parchetului de pe lângă Înalta Curte de Casaţie şi Justiţie</w:t>
            </w:r>
            <w:r w:rsidR="00F8766F" w:rsidRPr="002F62A5">
              <w:rPr>
                <w:rFonts w:ascii="Trebuchet MS" w:hAnsi="Trebuchet MS"/>
                <w:bCs/>
                <w:lang w:val="ro-RO"/>
              </w:rPr>
              <w:t>, fiind necesar ca, în raport de specificul activităţii parchetelor</w:t>
            </w:r>
            <w:r w:rsidR="00AC61CD" w:rsidRPr="002F62A5">
              <w:rPr>
                <w:rFonts w:ascii="Trebuchet MS" w:hAnsi="Trebuchet MS"/>
                <w:bCs/>
                <w:lang w:val="ro-RO"/>
              </w:rPr>
              <w:t xml:space="preserve"> (caracterizat prin operativitate</w:t>
            </w:r>
            <w:r w:rsidR="00F1711B" w:rsidRPr="002F62A5">
              <w:rPr>
                <w:rFonts w:ascii="Trebuchet MS" w:hAnsi="Trebuchet MS"/>
                <w:bCs/>
                <w:lang w:val="ro-RO"/>
              </w:rPr>
              <w:t>)</w:t>
            </w:r>
            <w:r w:rsidR="00F8766F" w:rsidRPr="002F62A5">
              <w:rPr>
                <w:rFonts w:ascii="Trebuchet MS" w:hAnsi="Trebuchet MS"/>
                <w:bCs/>
                <w:lang w:val="ro-RO"/>
              </w:rPr>
              <w:t xml:space="preserve">, aceste decizii să se ia în mod rapid şi suplu, având în vedere că procurorul general al României este cel care </w:t>
            </w:r>
            <w:r w:rsidR="00743484" w:rsidRPr="002F62A5">
              <w:rPr>
                <w:rFonts w:ascii="Trebuchet MS" w:hAnsi="Trebuchet MS"/>
                <w:bCs/>
                <w:lang w:val="ro-RO"/>
              </w:rPr>
              <w:t>asigură</w:t>
            </w:r>
            <w:r w:rsidR="00F8766F" w:rsidRPr="002F62A5">
              <w:rPr>
                <w:rFonts w:ascii="Trebuchet MS" w:hAnsi="Trebuchet MS"/>
                <w:bCs/>
                <w:lang w:val="ro-RO"/>
              </w:rPr>
              <w:t xml:space="preserve"> conducerea Ministerului Public şi </w:t>
            </w:r>
            <w:r w:rsidR="00126575" w:rsidRPr="002F62A5">
              <w:rPr>
                <w:rFonts w:ascii="Trebuchet MS" w:hAnsi="Trebuchet MS"/>
                <w:bCs/>
                <w:lang w:val="ro-RO"/>
              </w:rPr>
              <w:t>răspunde</w:t>
            </w:r>
            <w:r w:rsidR="00F8766F" w:rsidRPr="002F62A5">
              <w:rPr>
                <w:rFonts w:ascii="Trebuchet MS" w:hAnsi="Trebuchet MS"/>
                <w:bCs/>
                <w:lang w:val="ro-RO"/>
              </w:rPr>
              <w:t xml:space="preserve"> de eficienţa acestuia, folosindu-se de pârghiile prevăzute de lege în acest sens. De asemenea, detaşarea judecătorilor, dacă aceasta are o durată de sub 1 an, poate fi dispusă de preşedintele curţii de apel, atunci când nevoile de acoperire a necesarului de resurse umane justifică această măsură. Detaşările mai mari de 1 an se vor dispune în continuare de Secţia pentru judecători a Consiliului Superior al Magistraturii. În această materie, s-a prevăzut</w:t>
            </w:r>
            <w:r w:rsidR="00743484" w:rsidRPr="002F62A5">
              <w:rPr>
                <w:rFonts w:ascii="Trebuchet MS" w:hAnsi="Trebuchet MS"/>
                <w:bCs/>
                <w:lang w:val="ro-RO"/>
              </w:rPr>
              <w:t xml:space="preserve"> ca,</w:t>
            </w:r>
            <w:r w:rsidR="00F8766F" w:rsidRPr="002F62A5">
              <w:rPr>
                <w:rFonts w:ascii="Trebuchet MS" w:hAnsi="Trebuchet MS"/>
                <w:bCs/>
                <w:lang w:val="ro-RO"/>
              </w:rPr>
              <w:t xml:space="preserve"> în cazuri excepţionale în care nu se pot ocupa funcţii</w:t>
            </w:r>
            <w:r w:rsidR="00AB6CFB" w:rsidRPr="002F62A5">
              <w:rPr>
                <w:rFonts w:ascii="Trebuchet MS" w:hAnsi="Trebuchet MS"/>
                <w:bCs/>
                <w:lang w:val="ro-RO"/>
              </w:rPr>
              <w:t>le</w:t>
            </w:r>
            <w:r w:rsidR="00F8766F" w:rsidRPr="002F62A5">
              <w:rPr>
                <w:rFonts w:ascii="Trebuchet MS" w:hAnsi="Trebuchet MS"/>
                <w:bCs/>
                <w:lang w:val="ro-RO"/>
              </w:rPr>
              <w:t xml:space="preserve"> de execuţie</w:t>
            </w:r>
            <w:r w:rsidR="00086FB3">
              <w:rPr>
                <w:rFonts w:ascii="Trebuchet MS" w:hAnsi="Trebuchet MS"/>
                <w:bCs/>
                <w:lang w:val="ro-RO"/>
              </w:rPr>
              <w:t xml:space="preserve"> de procuror</w:t>
            </w:r>
            <w:r w:rsidR="00F8766F" w:rsidRPr="002F62A5">
              <w:rPr>
                <w:rFonts w:ascii="Trebuchet MS" w:hAnsi="Trebuchet MS"/>
                <w:bCs/>
                <w:lang w:val="ro-RO"/>
              </w:rPr>
              <w:t xml:space="preserve"> sau </w:t>
            </w:r>
            <w:r w:rsidR="00086FB3">
              <w:rPr>
                <w:rFonts w:ascii="Trebuchet MS" w:hAnsi="Trebuchet MS"/>
                <w:bCs/>
                <w:lang w:val="ro-RO"/>
              </w:rPr>
              <w:t xml:space="preserve">funcţiile </w:t>
            </w:r>
            <w:r w:rsidR="00F8766F" w:rsidRPr="002F62A5">
              <w:rPr>
                <w:rFonts w:ascii="Trebuchet MS" w:hAnsi="Trebuchet MS"/>
                <w:bCs/>
                <w:lang w:val="ro-RO"/>
              </w:rPr>
              <w:t>de conducere</w:t>
            </w:r>
            <w:r w:rsidR="00AB6CFB" w:rsidRPr="002F62A5">
              <w:rPr>
                <w:rFonts w:ascii="Trebuchet MS" w:hAnsi="Trebuchet MS"/>
                <w:bCs/>
                <w:lang w:val="ro-RO"/>
              </w:rPr>
              <w:t xml:space="preserve"> la instanţe şi parchete, nici prin concurs, nici prin delegare sau detaşare, deleg</w:t>
            </w:r>
            <w:r w:rsidR="00743484" w:rsidRPr="002F62A5">
              <w:rPr>
                <w:rFonts w:ascii="Trebuchet MS" w:hAnsi="Trebuchet MS"/>
                <w:bCs/>
                <w:lang w:val="ro-RO"/>
              </w:rPr>
              <w:t>area</w:t>
            </w:r>
            <w:r w:rsidR="00AB6CFB" w:rsidRPr="002F62A5">
              <w:rPr>
                <w:rFonts w:ascii="Trebuchet MS" w:hAnsi="Trebuchet MS"/>
                <w:bCs/>
                <w:lang w:val="ro-RO"/>
              </w:rPr>
              <w:t xml:space="preserve"> în aceste funcţii </w:t>
            </w:r>
            <w:r w:rsidR="00743484" w:rsidRPr="002F62A5">
              <w:rPr>
                <w:rFonts w:ascii="Trebuchet MS" w:hAnsi="Trebuchet MS"/>
                <w:bCs/>
                <w:lang w:val="ro-RO"/>
              </w:rPr>
              <w:t>să se poată face f</w:t>
            </w:r>
            <w:r w:rsidR="00AB6CFB" w:rsidRPr="002F62A5">
              <w:rPr>
                <w:rFonts w:ascii="Trebuchet MS" w:hAnsi="Trebuchet MS"/>
                <w:bCs/>
                <w:lang w:val="ro-RO"/>
              </w:rPr>
              <w:t xml:space="preserve">ără acordul magistratului pentru o perioadă ce nu poate depăşi 30 de zile calendaristice. </w:t>
            </w:r>
          </w:p>
          <w:p w:rsidR="000C13A8" w:rsidRDefault="000C13A8" w:rsidP="000C13A8">
            <w:pPr>
              <w:pStyle w:val="ListParagraph"/>
              <w:spacing w:after="0" w:afterAutospacing="0" w:line="276" w:lineRule="auto"/>
              <w:jc w:val="both"/>
              <w:rPr>
                <w:rFonts w:ascii="Trebuchet MS" w:hAnsi="Trebuchet MS"/>
                <w:bCs/>
                <w:lang w:val="ro-RO"/>
              </w:rPr>
            </w:pPr>
          </w:p>
          <w:p w:rsidR="001C5CAF" w:rsidRDefault="0042115C" w:rsidP="00386657">
            <w:pPr>
              <w:pStyle w:val="ListParagraph"/>
              <w:numPr>
                <w:ilvl w:val="0"/>
                <w:numId w:val="6"/>
              </w:numPr>
              <w:spacing w:after="0" w:afterAutospacing="0" w:line="276" w:lineRule="auto"/>
              <w:jc w:val="both"/>
              <w:rPr>
                <w:rFonts w:ascii="Trebuchet MS" w:hAnsi="Trebuchet MS"/>
                <w:bCs/>
                <w:lang w:val="ro-RO"/>
              </w:rPr>
            </w:pPr>
            <w:r w:rsidRPr="00AD2EC8">
              <w:rPr>
                <w:rFonts w:ascii="Trebuchet MS" w:hAnsi="Trebuchet MS"/>
                <w:bCs/>
                <w:lang w:val="ro-RO"/>
              </w:rPr>
              <w:t xml:space="preserve">Având în vedere că detaşarea reprezintă o modalitate excepţională de ocupare a unor posturi, atunci când </w:t>
            </w:r>
            <w:r>
              <w:rPr>
                <w:rFonts w:ascii="Trebuchet MS" w:hAnsi="Trebuchet MS"/>
                <w:bCs/>
                <w:lang w:val="ro-RO"/>
              </w:rPr>
              <w:t xml:space="preserve">există o nevoie temporară a autorităţii, principala modalitate fiind încadrarea prin concurs, potrivit legii, precum şi faptul că detaşarea magistraţilor </w:t>
            </w:r>
            <w:r w:rsidR="00A37FAB">
              <w:rPr>
                <w:rFonts w:ascii="Trebuchet MS" w:hAnsi="Trebuchet MS"/>
                <w:bCs/>
                <w:lang w:val="ro-RO"/>
              </w:rPr>
              <w:t xml:space="preserve">din alte localități </w:t>
            </w:r>
            <w:r>
              <w:rPr>
                <w:rFonts w:ascii="Trebuchet MS" w:hAnsi="Trebuchet MS"/>
                <w:bCs/>
                <w:lang w:val="ro-RO"/>
              </w:rPr>
              <w:t>în diferite instituţii implică şi costuri suplimentare (diurne de detaşare, cheltuieli de transport, cazare, chirie etc), proiectul prevede că „n</w:t>
            </w:r>
            <w:r w:rsidRPr="005A09FF">
              <w:rPr>
                <w:rFonts w:ascii="Trebuchet MS" w:hAnsi="Trebuchet MS"/>
                <w:lang w:val="ro-RO"/>
              </w:rPr>
              <w:t>umărul magistraţilor detaşaţi în alte instituţii decât instanţe sau parchete nu poate depăşi 5% din numărul total de posturi aprobat pentru instituţia respectiv</w:t>
            </w:r>
            <w:r w:rsidR="001C5CAF" w:rsidRPr="005A09FF">
              <w:rPr>
                <w:rFonts w:ascii="Trebuchet MS" w:hAnsi="Trebuchet MS"/>
                <w:lang w:val="ro-RO"/>
              </w:rPr>
              <w:t>ă</w:t>
            </w:r>
            <w:r w:rsidRPr="005A09FF">
              <w:rPr>
                <w:rFonts w:ascii="Trebuchet MS" w:hAnsi="Trebuchet MS"/>
                <w:lang w:val="ro-RO"/>
              </w:rPr>
              <w:t>”.</w:t>
            </w:r>
            <w:r>
              <w:rPr>
                <w:rFonts w:ascii="Trebuchet MS" w:hAnsi="Trebuchet MS"/>
                <w:bCs/>
                <w:lang w:val="ro-RO"/>
              </w:rPr>
              <w:t xml:space="preserve"> </w:t>
            </w:r>
          </w:p>
          <w:p w:rsidR="000C13A8" w:rsidRPr="000C13A8" w:rsidRDefault="000C13A8" w:rsidP="000C13A8">
            <w:pPr>
              <w:pStyle w:val="ListParagraph"/>
              <w:rPr>
                <w:rFonts w:ascii="Trebuchet MS" w:hAnsi="Trebuchet MS"/>
                <w:bCs/>
                <w:lang w:val="ro-RO"/>
              </w:rPr>
            </w:pPr>
          </w:p>
          <w:p w:rsidR="00F8766F" w:rsidRDefault="00AB6CFB" w:rsidP="00386657">
            <w:pPr>
              <w:pStyle w:val="ListParagraph"/>
              <w:numPr>
                <w:ilvl w:val="0"/>
                <w:numId w:val="6"/>
              </w:numPr>
              <w:spacing w:after="0" w:afterAutospacing="0" w:line="276" w:lineRule="auto"/>
              <w:jc w:val="both"/>
              <w:rPr>
                <w:rFonts w:ascii="Trebuchet MS" w:hAnsi="Trebuchet MS"/>
                <w:bCs/>
                <w:lang w:val="ro-RO"/>
              </w:rPr>
            </w:pPr>
            <w:r w:rsidRPr="002F62A5">
              <w:rPr>
                <w:rFonts w:ascii="Trebuchet MS" w:hAnsi="Trebuchet MS"/>
                <w:bCs/>
                <w:lang w:val="ro-RO"/>
              </w:rPr>
              <w:t>Modificarea dispoziţiilor privind suspendarea din funcţie</w:t>
            </w:r>
            <w:r w:rsidR="00C621C8" w:rsidRPr="002F62A5">
              <w:rPr>
                <w:rFonts w:ascii="Trebuchet MS" w:hAnsi="Trebuchet MS"/>
                <w:bCs/>
                <w:lang w:val="ro-RO"/>
              </w:rPr>
              <w:t xml:space="preserve"> şi eliberarea din funcţie</w:t>
            </w:r>
            <w:r w:rsidRPr="002F62A5">
              <w:rPr>
                <w:rFonts w:ascii="Trebuchet MS" w:hAnsi="Trebuchet MS"/>
                <w:bCs/>
                <w:lang w:val="ro-RO"/>
              </w:rPr>
              <w:t xml:space="preserve"> a magistraţilor, în vederea asigurării unui nivel de reputaţie şi integritate al magistraţilor şi pentru menţinerea unei încrederi publice în sistemul de justiţie şi activitatea magistraţilor. Prin urmare, în această materie, au fost elim</w:t>
            </w:r>
            <w:r w:rsidR="00C621C8" w:rsidRPr="002F62A5">
              <w:rPr>
                <w:rFonts w:ascii="Trebuchet MS" w:hAnsi="Trebuchet MS"/>
                <w:bCs/>
                <w:lang w:val="ro-RO"/>
              </w:rPr>
              <w:t>i</w:t>
            </w:r>
            <w:r w:rsidRPr="002F62A5">
              <w:rPr>
                <w:rFonts w:ascii="Trebuchet MS" w:hAnsi="Trebuchet MS"/>
                <w:bCs/>
                <w:lang w:val="ro-RO"/>
              </w:rPr>
              <w:t xml:space="preserve">nate aceste dispoziţii care făceau referire la posibilitatea menţinerii în funcţie în caz de </w:t>
            </w:r>
            <w:r w:rsidR="00C621C8" w:rsidRPr="002F62A5">
              <w:rPr>
                <w:rFonts w:ascii="Trebuchet MS" w:hAnsi="Trebuchet MS"/>
                <w:bCs/>
                <w:lang w:val="ro-RO"/>
              </w:rPr>
              <w:t xml:space="preserve">trimitere în </w:t>
            </w:r>
            <w:r w:rsidR="00C621C8" w:rsidRPr="002F62A5">
              <w:rPr>
                <w:rFonts w:ascii="Trebuchet MS" w:hAnsi="Trebuchet MS"/>
                <w:bCs/>
                <w:lang w:val="ro-RO"/>
              </w:rPr>
              <w:lastRenderedPageBreak/>
              <w:t xml:space="preserve">judecată, respectiv </w:t>
            </w:r>
            <w:r w:rsidRPr="002F62A5">
              <w:rPr>
                <w:rFonts w:ascii="Trebuchet MS" w:hAnsi="Trebuchet MS"/>
                <w:bCs/>
                <w:lang w:val="ro-RO"/>
              </w:rPr>
              <w:t>condamnare</w:t>
            </w:r>
            <w:r w:rsidR="00C621C8" w:rsidRPr="002F62A5">
              <w:rPr>
                <w:rFonts w:ascii="Trebuchet MS" w:hAnsi="Trebuchet MS"/>
                <w:bCs/>
                <w:lang w:val="ro-RO"/>
              </w:rPr>
              <w:t xml:space="preserve"> a magistratului,</w:t>
            </w:r>
            <w:r w:rsidRPr="002F62A5">
              <w:rPr>
                <w:rFonts w:ascii="Trebuchet MS" w:hAnsi="Trebuchet MS"/>
                <w:bCs/>
                <w:lang w:val="ro-RO"/>
              </w:rPr>
              <w:t xml:space="preserve"> dacă se aprecia că fapta nu aduce atingere prestigiului justiţiei. </w:t>
            </w:r>
          </w:p>
          <w:p w:rsidR="002F62A5" w:rsidRPr="002F62A5" w:rsidRDefault="002F62A5" w:rsidP="002F62A5">
            <w:pPr>
              <w:pStyle w:val="ListParagraph"/>
              <w:spacing w:after="0" w:afterAutospacing="0" w:line="276" w:lineRule="auto"/>
              <w:jc w:val="both"/>
              <w:rPr>
                <w:rFonts w:ascii="Trebuchet MS" w:hAnsi="Trebuchet MS"/>
                <w:bCs/>
                <w:lang w:val="ro-RO"/>
              </w:rPr>
            </w:pPr>
          </w:p>
          <w:p w:rsidR="00C405D7" w:rsidRDefault="00C405D7" w:rsidP="00386657">
            <w:pPr>
              <w:pStyle w:val="ListParagraph"/>
              <w:numPr>
                <w:ilvl w:val="0"/>
                <w:numId w:val="6"/>
              </w:numPr>
              <w:spacing w:after="0" w:afterAutospacing="0" w:line="276" w:lineRule="auto"/>
              <w:jc w:val="both"/>
              <w:rPr>
                <w:rFonts w:ascii="Trebuchet MS" w:hAnsi="Trebuchet MS"/>
                <w:bCs/>
                <w:lang w:val="ro-RO"/>
              </w:rPr>
            </w:pPr>
            <w:r w:rsidRPr="002F62A5">
              <w:rPr>
                <w:rFonts w:ascii="Trebuchet MS" w:hAnsi="Trebuchet MS"/>
                <w:bCs/>
                <w:lang w:val="ro-RO"/>
              </w:rPr>
              <w:t>Instituirea la nivel de lege a obligaţiei magistraţilor ca, înaintea eliberării din funcţie prin pensionare, demisie, transfer în alte instituţii, să îşi finalizeze lucrările în curs</w:t>
            </w:r>
            <w:r w:rsidR="00B239E6" w:rsidRPr="002F62A5">
              <w:rPr>
                <w:rFonts w:ascii="Trebuchet MS" w:hAnsi="Trebuchet MS"/>
                <w:bCs/>
                <w:lang w:val="ro-RO"/>
              </w:rPr>
              <w:t xml:space="preserve">, să notifice intenţia conducătorului instanţei sau parchetului, sub sancţiunea netrimiterii </w:t>
            </w:r>
            <w:r w:rsidR="00AB0A7F" w:rsidRPr="002F62A5">
              <w:rPr>
                <w:rFonts w:ascii="Trebuchet MS" w:hAnsi="Trebuchet MS"/>
                <w:bCs/>
                <w:lang w:val="ro-RO"/>
              </w:rPr>
              <w:t>propunerii de eliberare din funcţie către Preşedintele României</w:t>
            </w:r>
            <w:r w:rsidR="00D451DF" w:rsidRPr="002F62A5">
              <w:rPr>
                <w:rFonts w:ascii="Trebuchet MS" w:hAnsi="Trebuchet MS"/>
                <w:bCs/>
                <w:lang w:val="ro-RO"/>
              </w:rPr>
              <w:t>, precizare necesară în special din p</w:t>
            </w:r>
            <w:r w:rsidR="0059463C" w:rsidRPr="002F62A5">
              <w:rPr>
                <w:rFonts w:ascii="Trebuchet MS" w:hAnsi="Trebuchet MS"/>
                <w:bCs/>
                <w:lang w:val="ro-RO"/>
              </w:rPr>
              <w:t>er</w:t>
            </w:r>
            <w:r w:rsidR="00D451DF" w:rsidRPr="002F62A5">
              <w:rPr>
                <w:rFonts w:ascii="Trebuchet MS" w:hAnsi="Trebuchet MS"/>
                <w:bCs/>
                <w:lang w:val="ro-RO"/>
              </w:rPr>
              <w:t>spectiva asigurării respectării principiilor care guvernează activitatea judiciară, cum sunt principiul continuităţii completurilor</w:t>
            </w:r>
            <w:r w:rsidR="00B803FC" w:rsidRPr="002F62A5">
              <w:rPr>
                <w:rFonts w:ascii="Trebuchet MS" w:hAnsi="Trebuchet MS"/>
                <w:bCs/>
                <w:lang w:val="ro-RO"/>
              </w:rPr>
              <w:t xml:space="preserve">, </w:t>
            </w:r>
            <w:r w:rsidR="00D451DF" w:rsidRPr="002F62A5">
              <w:rPr>
                <w:rFonts w:ascii="Trebuchet MS" w:hAnsi="Trebuchet MS"/>
                <w:bCs/>
                <w:lang w:val="ro-RO"/>
              </w:rPr>
              <w:t xml:space="preserve"> principiul repartizării aleatorii a cauzelor</w:t>
            </w:r>
            <w:r w:rsidR="00B803FC" w:rsidRPr="002F62A5">
              <w:rPr>
                <w:rFonts w:ascii="Trebuchet MS" w:hAnsi="Trebuchet MS"/>
                <w:bCs/>
                <w:lang w:val="ro-RO"/>
              </w:rPr>
              <w:t>, dar şi al judecării cauzelor într-un termen rezonabil, optim şi previzibil (pentru evitarea tergiversării proceselor şi reluării judecăţii , din cauza plecărilor intempestive din sistem)</w:t>
            </w:r>
            <w:r w:rsidR="00D451DF" w:rsidRPr="002F62A5">
              <w:rPr>
                <w:rFonts w:ascii="Trebuchet MS" w:hAnsi="Trebuchet MS"/>
                <w:bCs/>
                <w:lang w:val="ro-RO"/>
              </w:rPr>
              <w:t xml:space="preserve">. </w:t>
            </w:r>
          </w:p>
          <w:p w:rsidR="002F62A5" w:rsidRPr="002F62A5" w:rsidRDefault="002F62A5" w:rsidP="002F62A5">
            <w:pPr>
              <w:pStyle w:val="ListParagraph"/>
              <w:spacing w:after="0" w:afterAutospacing="0" w:line="276" w:lineRule="auto"/>
              <w:jc w:val="both"/>
              <w:rPr>
                <w:rFonts w:ascii="Trebuchet MS" w:hAnsi="Trebuchet MS"/>
                <w:bCs/>
                <w:lang w:val="ro-RO"/>
              </w:rPr>
            </w:pPr>
          </w:p>
          <w:p w:rsidR="0054270E" w:rsidRDefault="0054270E" w:rsidP="00386657">
            <w:pPr>
              <w:pStyle w:val="ListParagraph"/>
              <w:numPr>
                <w:ilvl w:val="0"/>
                <w:numId w:val="6"/>
              </w:numPr>
              <w:spacing w:after="0" w:afterAutospacing="0" w:line="276" w:lineRule="auto"/>
              <w:jc w:val="both"/>
              <w:rPr>
                <w:rFonts w:ascii="Trebuchet MS" w:hAnsi="Trebuchet MS"/>
                <w:bCs/>
                <w:lang w:val="ro-RO"/>
              </w:rPr>
            </w:pPr>
            <w:r w:rsidRPr="002F62A5">
              <w:rPr>
                <w:rFonts w:ascii="Trebuchet MS" w:hAnsi="Trebuchet MS"/>
                <w:bCs/>
                <w:lang w:val="ro-RO"/>
              </w:rPr>
              <w:t>Menţinerea drepturilor magistraţilor la nivelul existent</w:t>
            </w:r>
            <w:r w:rsidR="002A3B2C" w:rsidRPr="002F62A5">
              <w:rPr>
                <w:rFonts w:ascii="Trebuchet MS" w:hAnsi="Trebuchet MS"/>
                <w:bCs/>
                <w:lang w:val="ro-RO"/>
              </w:rPr>
              <w:t xml:space="preserve"> în prezent</w:t>
            </w:r>
            <w:r w:rsidR="003536AE" w:rsidRPr="002F62A5">
              <w:rPr>
                <w:rFonts w:ascii="Trebuchet MS" w:hAnsi="Trebuchet MS"/>
                <w:bCs/>
                <w:lang w:val="ro-RO"/>
              </w:rPr>
              <w:t xml:space="preserve"> şi instituirea unei prevederi care stabile</w:t>
            </w:r>
            <w:r w:rsidR="002A3B2C" w:rsidRPr="002F62A5">
              <w:rPr>
                <w:rFonts w:ascii="Trebuchet MS" w:hAnsi="Trebuchet MS"/>
                <w:bCs/>
                <w:lang w:val="ro-RO"/>
              </w:rPr>
              <w:t>şte faptul că</w:t>
            </w:r>
            <w:r w:rsidR="003536AE" w:rsidRPr="002F62A5">
              <w:rPr>
                <w:rFonts w:ascii="Trebuchet MS" w:hAnsi="Trebuchet MS"/>
                <w:bCs/>
                <w:lang w:val="ro-RO"/>
              </w:rPr>
              <w:t xml:space="preserve"> salarizarea magistraţilor se va reglementa prin lege specială</w:t>
            </w:r>
            <w:r w:rsidR="002F62A5">
              <w:rPr>
                <w:rFonts w:ascii="Trebuchet MS" w:hAnsi="Trebuchet MS"/>
                <w:bCs/>
                <w:lang w:val="ro-RO"/>
              </w:rPr>
              <w:t>.</w:t>
            </w:r>
          </w:p>
          <w:p w:rsidR="002F62A5" w:rsidRPr="002F62A5" w:rsidRDefault="002F62A5" w:rsidP="002F62A5">
            <w:pPr>
              <w:pStyle w:val="ListParagraph"/>
              <w:spacing w:after="0" w:afterAutospacing="0" w:line="276" w:lineRule="auto"/>
              <w:jc w:val="both"/>
              <w:rPr>
                <w:rFonts w:ascii="Trebuchet MS" w:hAnsi="Trebuchet MS"/>
                <w:bCs/>
                <w:lang w:val="ro-RO"/>
              </w:rPr>
            </w:pPr>
          </w:p>
          <w:p w:rsidR="009D4CC8" w:rsidRDefault="00743484" w:rsidP="00386657">
            <w:pPr>
              <w:pStyle w:val="ListParagraph"/>
              <w:numPr>
                <w:ilvl w:val="0"/>
                <w:numId w:val="6"/>
              </w:numPr>
              <w:spacing w:after="0" w:afterAutospacing="0" w:line="276" w:lineRule="auto"/>
              <w:jc w:val="both"/>
              <w:rPr>
                <w:rFonts w:ascii="Trebuchet MS" w:hAnsi="Trebuchet MS"/>
                <w:bCs/>
                <w:lang w:val="ro-RO"/>
              </w:rPr>
            </w:pPr>
            <w:r w:rsidRPr="002F62A5">
              <w:rPr>
                <w:rFonts w:ascii="Trebuchet MS" w:hAnsi="Trebuchet MS"/>
                <w:bCs/>
                <w:lang w:val="ro-RO"/>
              </w:rPr>
              <w:t>Menţinerea dispoziţiilor în vigoare privind acordarea şi actualizarea pensiilor de serviciu, însă în această materie s-au adus clarificări şi s-au realizat unele corelări între textele în prezent în vigoare care fie sunt neclare</w:t>
            </w:r>
            <w:r w:rsidR="004F679D" w:rsidRPr="002F62A5">
              <w:rPr>
                <w:rFonts w:ascii="Trebuchet MS" w:hAnsi="Trebuchet MS"/>
                <w:bCs/>
                <w:lang w:val="ro-RO"/>
              </w:rPr>
              <w:t xml:space="preserve"> şi creează dificultăţi de aplicare, fie sunt contradictorii (exemplu: </w:t>
            </w:r>
            <w:r w:rsidR="007B5822" w:rsidRPr="002F62A5">
              <w:rPr>
                <w:rFonts w:ascii="Trebuchet MS" w:hAnsi="Trebuchet MS"/>
                <w:bCs/>
                <w:lang w:val="ro-RO"/>
              </w:rPr>
              <w:t>au fost comasate alineatele (1) şi (2) ale actualului articol 82 care prevedeau, în contra normelor de tehnică legislativă, aceeaşi ipoteză normativă şi aceleaşi condiţii de pensionare,</w:t>
            </w:r>
            <w:r w:rsidR="0071769E" w:rsidRPr="002F62A5">
              <w:rPr>
                <w:rFonts w:ascii="Trebuchet MS" w:hAnsi="Trebuchet MS"/>
                <w:bCs/>
                <w:lang w:val="ro-RO"/>
              </w:rPr>
              <w:t xml:space="preserve"> </w:t>
            </w:r>
            <w:r w:rsidR="004F679D" w:rsidRPr="002F62A5">
              <w:rPr>
                <w:rFonts w:ascii="Trebuchet MS" w:hAnsi="Trebuchet MS"/>
                <w:bCs/>
                <w:lang w:val="ro-RO"/>
              </w:rPr>
              <w:t>s-a prevăzut expres posibilitatea recalcul</w:t>
            </w:r>
            <w:r w:rsidR="007B5822" w:rsidRPr="002F62A5">
              <w:rPr>
                <w:rFonts w:ascii="Trebuchet MS" w:hAnsi="Trebuchet MS"/>
                <w:bCs/>
                <w:lang w:val="ro-RO"/>
              </w:rPr>
              <w:t>ăr</w:t>
            </w:r>
            <w:r w:rsidR="004F679D" w:rsidRPr="002F62A5">
              <w:rPr>
                <w:rFonts w:ascii="Trebuchet MS" w:hAnsi="Trebuchet MS"/>
                <w:bCs/>
                <w:lang w:val="ro-RO"/>
              </w:rPr>
              <w:t xml:space="preserve">ii pensiilor în situaţia pensionarilor care se reîncadrează după pensionare, </w:t>
            </w:r>
            <w:r w:rsidR="0054270E" w:rsidRPr="002F62A5">
              <w:rPr>
                <w:rFonts w:ascii="Trebuchet MS" w:hAnsi="Trebuchet MS"/>
                <w:bCs/>
                <w:lang w:val="ro-RO"/>
              </w:rPr>
              <w:t xml:space="preserve">precum şi </w:t>
            </w:r>
            <w:r w:rsidR="004F679D" w:rsidRPr="002F62A5">
              <w:rPr>
                <w:rFonts w:ascii="Trebuchet MS" w:hAnsi="Trebuchet MS"/>
                <w:bCs/>
                <w:lang w:val="ro-RO"/>
              </w:rPr>
              <w:t xml:space="preserve">posibilitatea elaborării unor norme metolodologice în materie, </w:t>
            </w:r>
            <w:r w:rsidR="009D4CC8" w:rsidRPr="002F62A5">
              <w:rPr>
                <w:rFonts w:ascii="Trebuchet MS" w:hAnsi="Trebuchet MS"/>
                <w:bCs/>
                <w:lang w:val="ro-RO"/>
              </w:rPr>
              <w:t xml:space="preserve"> etc).</w:t>
            </w:r>
          </w:p>
          <w:p w:rsidR="002F62A5" w:rsidRPr="002F62A5" w:rsidRDefault="002F62A5" w:rsidP="002F62A5">
            <w:pPr>
              <w:pStyle w:val="ListParagraph"/>
              <w:spacing w:after="0" w:afterAutospacing="0" w:line="276" w:lineRule="auto"/>
              <w:jc w:val="both"/>
              <w:rPr>
                <w:rFonts w:ascii="Trebuchet MS" w:hAnsi="Trebuchet MS"/>
                <w:bCs/>
                <w:lang w:val="ro-RO"/>
              </w:rPr>
            </w:pPr>
          </w:p>
          <w:p w:rsidR="00E616A2" w:rsidRDefault="00E616A2" w:rsidP="00386657">
            <w:pPr>
              <w:pStyle w:val="ListParagraph"/>
              <w:numPr>
                <w:ilvl w:val="0"/>
                <w:numId w:val="6"/>
              </w:numPr>
              <w:spacing w:after="0" w:afterAutospacing="0" w:line="276" w:lineRule="auto"/>
              <w:jc w:val="both"/>
              <w:rPr>
                <w:rFonts w:ascii="Trebuchet MS" w:hAnsi="Trebuchet MS"/>
                <w:bCs/>
                <w:lang w:val="ro-RO"/>
              </w:rPr>
            </w:pPr>
            <w:r w:rsidRPr="002F62A5">
              <w:rPr>
                <w:rFonts w:ascii="Trebuchet MS" w:hAnsi="Trebuchet MS"/>
                <w:bCs/>
                <w:lang w:val="ro-RO"/>
              </w:rPr>
              <w:t>Eliminarea unor dispoziţii inaplicabile, cum sunt cele referitoare la obligativitatea asigurării de răspundere civilă profesională a judecătorilor şi procurorilor</w:t>
            </w:r>
            <w:r w:rsidR="00226FA7" w:rsidRPr="002F62A5">
              <w:rPr>
                <w:rFonts w:ascii="Trebuchet MS" w:hAnsi="Trebuchet MS"/>
                <w:bCs/>
                <w:lang w:val="ro-RO"/>
              </w:rPr>
              <w:t xml:space="preserve"> pentru erori judiciare</w:t>
            </w:r>
            <w:r w:rsidRPr="002F62A5">
              <w:rPr>
                <w:rFonts w:ascii="Trebuchet MS" w:hAnsi="Trebuchet MS"/>
                <w:bCs/>
                <w:lang w:val="ro-RO"/>
              </w:rPr>
              <w:t xml:space="preserve">, în condiţiile în care, potrivit Constituţiei României, </w:t>
            </w:r>
            <w:r w:rsidR="00226FA7" w:rsidRPr="002F62A5">
              <w:rPr>
                <w:rFonts w:ascii="Trebuchet MS" w:hAnsi="Trebuchet MS"/>
                <w:bCs/>
                <w:lang w:val="ro-RO"/>
              </w:rPr>
              <w:t>magistraţii</w:t>
            </w:r>
            <w:r w:rsidRPr="002F62A5">
              <w:rPr>
                <w:rFonts w:ascii="Trebuchet MS" w:hAnsi="Trebuchet MS"/>
                <w:bCs/>
                <w:lang w:val="ro-RO"/>
              </w:rPr>
              <w:t xml:space="preserve"> răspund </w:t>
            </w:r>
            <w:r w:rsidR="00BA4EF4" w:rsidRPr="002F62A5">
              <w:rPr>
                <w:rFonts w:ascii="Trebuchet MS" w:hAnsi="Trebuchet MS"/>
                <w:bCs/>
                <w:lang w:val="ro-RO"/>
              </w:rPr>
              <w:t>civil</w:t>
            </w:r>
            <w:r w:rsidRPr="002F62A5">
              <w:rPr>
                <w:rFonts w:ascii="Trebuchet MS" w:hAnsi="Trebuchet MS"/>
                <w:bCs/>
                <w:lang w:val="ro-RO"/>
              </w:rPr>
              <w:t xml:space="preserve"> doar în cazul erorilor judiciare produse cu rea-credinţă sau gravă neglijenţă. </w:t>
            </w:r>
            <w:r w:rsidR="005A16C2" w:rsidRPr="002F62A5">
              <w:rPr>
                <w:rFonts w:ascii="Trebuchet MS" w:hAnsi="Trebuchet MS"/>
                <w:bCs/>
                <w:lang w:val="ro-RO"/>
              </w:rPr>
              <w:t>Or, asigurările profesionale nu acoperă prejudiciile cauzate cu intenţi</w:t>
            </w:r>
            <w:r w:rsidR="00BA4EF4" w:rsidRPr="002F62A5">
              <w:rPr>
                <w:rFonts w:ascii="Trebuchet MS" w:hAnsi="Trebuchet MS"/>
                <w:bCs/>
                <w:lang w:val="ro-RO"/>
              </w:rPr>
              <w:t>e</w:t>
            </w:r>
            <w:r w:rsidR="005A16C2" w:rsidRPr="002F62A5">
              <w:rPr>
                <w:rFonts w:ascii="Trebuchet MS" w:hAnsi="Trebuchet MS"/>
                <w:bCs/>
                <w:lang w:val="ro-RO"/>
              </w:rPr>
              <w:t xml:space="preserve"> (rea-credinţă), dol sau culpă gravă (asimilată dolului</w:t>
            </w:r>
            <w:r w:rsidR="006F114A" w:rsidRPr="002F62A5">
              <w:rPr>
                <w:rFonts w:ascii="Trebuchet MS" w:hAnsi="Trebuchet MS"/>
                <w:bCs/>
                <w:lang w:val="ro-RO"/>
              </w:rPr>
              <w:t xml:space="preserve"> ori intenţiei</w:t>
            </w:r>
            <w:r w:rsidR="005A16C2" w:rsidRPr="002F62A5">
              <w:rPr>
                <w:rFonts w:ascii="Trebuchet MS" w:hAnsi="Trebuchet MS"/>
                <w:bCs/>
                <w:lang w:val="ro-RO"/>
              </w:rPr>
              <w:t xml:space="preserve">). </w:t>
            </w:r>
          </w:p>
          <w:p w:rsidR="002F62A5" w:rsidRPr="002F62A5" w:rsidRDefault="002F62A5" w:rsidP="002F62A5">
            <w:pPr>
              <w:pStyle w:val="ListParagraph"/>
              <w:spacing w:after="0" w:afterAutospacing="0" w:line="276" w:lineRule="auto"/>
              <w:jc w:val="both"/>
              <w:rPr>
                <w:rFonts w:ascii="Trebuchet MS" w:hAnsi="Trebuchet MS"/>
                <w:bCs/>
                <w:lang w:val="ro-RO"/>
              </w:rPr>
            </w:pPr>
          </w:p>
          <w:p w:rsidR="00E17AD3" w:rsidRDefault="00E17AD3" w:rsidP="00386657">
            <w:pPr>
              <w:pStyle w:val="ListParagraph"/>
              <w:numPr>
                <w:ilvl w:val="0"/>
                <w:numId w:val="6"/>
              </w:numPr>
              <w:spacing w:after="0" w:afterAutospacing="0" w:line="276" w:lineRule="auto"/>
              <w:jc w:val="both"/>
              <w:rPr>
                <w:rFonts w:ascii="Trebuchet MS" w:hAnsi="Trebuchet MS"/>
                <w:bCs/>
                <w:lang w:val="ro-RO"/>
              </w:rPr>
            </w:pPr>
            <w:r w:rsidRPr="002F62A5">
              <w:rPr>
                <w:rFonts w:ascii="Trebuchet MS" w:hAnsi="Trebuchet MS"/>
                <w:bCs/>
                <w:lang w:val="ro-RO"/>
              </w:rPr>
              <w:t>Clarificarea definiţiei unor abateri disciplinare, nevoi</w:t>
            </w:r>
            <w:r w:rsidR="00C405D7" w:rsidRPr="002F62A5">
              <w:rPr>
                <w:rFonts w:ascii="Trebuchet MS" w:hAnsi="Trebuchet MS"/>
                <w:bCs/>
                <w:lang w:val="ro-RO"/>
              </w:rPr>
              <w:t>a</w:t>
            </w:r>
            <w:r w:rsidRPr="002F62A5">
              <w:rPr>
                <w:rFonts w:ascii="Trebuchet MS" w:hAnsi="Trebuchet MS"/>
                <w:bCs/>
                <w:lang w:val="ro-RO"/>
              </w:rPr>
              <w:t xml:space="preserve"> de clarificare </w:t>
            </w:r>
            <w:r w:rsidR="00C405D7" w:rsidRPr="002F62A5">
              <w:rPr>
                <w:rFonts w:ascii="Trebuchet MS" w:hAnsi="Trebuchet MS"/>
                <w:bCs/>
                <w:lang w:val="ro-RO"/>
              </w:rPr>
              <w:t>rezultând</w:t>
            </w:r>
            <w:r w:rsidRPr="002F62A5">
              <w:rPr>
                <w:rFonts w:ascii="Trebuchet MS" w:hAnsi="Trebuchet MS"/>
                <w:bCs/>
                <w:lang w:val="ro-RO"/>
              </w:rPr>
              <w:t xml:space="preserve"> din practică, precum şi particularizarea</w:t>
            </w:r>
            <w:r w:rsidR="00C405D7" w:rsidRPr="002F62A5">
              <w:rPr>
                <w:rFonts w:ascii="Trebuchet MS" w:hAnsi="Trebuchet MS"/>
                <w:bCs/>
                <w:lang w:val="ro-RO"/>
              </w:rPr>
              <w:t xml:space="preserve"> gravei neglijenţe, prin stabilirea unor criterii de apreciere a acesteia, în vederea asigurării predictibilităţii textului în materie. </w:t>
            </w:r>
          </w:p>
          <w:p w:rsidR="002F62A5" w:rsidRPr="002F62A5" w:rsidRDefault="002F62A5" w:rsidP="002F62A5">
            <w:pPr>
              <w:pStyle w:val="ListParagraph"/>
              <w:spacing w:after="0" w:afterAutospacing="0" w:line="276" w:lineRule="auto"/>
              <w:jc w:val="both"/>
              <w:rPr>
                <w:rFonts w:ascii="Trebuchet MS" w:hAnsi="Trebuchet MS"/>
                <w:bCs/>
                <w:lang w:val="ro-RO"/>
              </w:rPr>
            </w:pPr>
          </w:p>
          <w:p w:rsidR="005F2FAD" w:rsidRDefault="009D4CC8" w:rsidP="00386657">
            <w:pPr>
              <w:pStyle w:val="ListParagraph"/>
              <w:numPr>
                <w:ilvl w:val="0"/>
                <w:numId w:val="6"/>
              </w:numPr>
              <w:spacing w:after="0" w:afterAutospacing="0" w:line="276" w:lineRule="auto"/>
              <w:jc w:val="both"/>
              <w:rPr>
                <w:rFonts w:ascii="Trebuchet MS" w:hAnsi="Trebuchet MS"/>
                <w:bCs/>
                <w:lang w:val="ro-RO"/>
              </w:rPr>
            </w:pPr>
            <w:r w:rsidRPr="002F62A5">
              <w:rPr>
                <w:rFonts w:ascii="Trebuchet MS" w:hAnsi="Trebuchet MS"/>
                <w:bCs/>
                <w:lang w:val="ro-RO"/>
              </w:rPr>
              <w:t>Gestionarea carierei magistraţilor-asistenţi la nivelul Înaltei Curţi de Casaţie şi Justiţie, respectiv la nivelul Curţii Constituţionale</w:t>
            </w:r>
            <w:r w:rsidR="009E1480" w:rsidRPr="002F62A5">
              <w:rPr>
                <w:rFonts w:ascii="Trebuchet MS" w:hAnsi="Trebuchet MS"/>
                <w:bCs/>
                <w:lang w:val="ro-RO"/>
              </w:rPr>
              <w:t xml:space="preserve"> şi reglementarea la nivel de lege a </w:t>
            </w:r>
            <w:r w:rsidR="0051335F" w:rsidRPr="002F62A5">
              <w:rPr>
                <w:rFonts w:ascii="Trebuchet MS" w:hAnsi="Trebuchet MS"/>
                <w:bCs/>
                <w:lang w:val="ro-RO"/>
              </w:rPr>
              <w:t>concursului de numire în funcţia de magistrat-asistent şi în funcţiile de conducere de magistrat-asistent şef şi prim-magistrat-asistent</w:t>
            </w:r>
            <w:r w:rsidR="00C405D7" w:rsidRPr="002F62A5">
              <w:rPr>
                <w:rFonts w:ascii="Trebuchet MS" w:hAnsi="Trebuchet MS"/>
                <w:bCs/>
                <w:lang w:val="ro-RO"/>
              </w:rPr>
              <w:t>, în acord cu jurisprudenţa</w:t>
            </w:r>
            <w:r w:rsidR="00F841A3" w:rsidRPr="002F62A5">
              <w:rPr>
                <w:rFonts w:ascii="Trebuchet MS" w:hAnsi="Trebuchet MS"/>
                <w:bCs/>
                <w:lang w:val="ro-RO"/>
              </w:rPr>
              <w:t xml:space="preserve"> Curţii Constituţionale </w:t>
            </w:r>
            <w:r w:rsidR="00C405D7" w:rsidRPr="002F62A5">
              <w:rPr>
                <w:rFonts w:ascii="Trebuchet MS" w:hAnsi="Trebuchet MS"/>
                <w:bCs/>
                <w:lang w:val="ro-RO"/>
              </w:rPr>
              <w:t xml:space="preserve"> în materie</w:t>
            </w:r>
            <w:r w:rsidR="0051335F" w:rsidRPr="002F62A5">
              <w:rPr>
                <w:rFonts w:ascii="Trebuchet MS" w:hAnsi="Trebuchet MS"/>
                <w:bCs/>
                <w:lang w:val="ro-RO"/>
              </w:rPr>
              <w:t xml:space="preserve">. </w:t>
            </w:r>
          </w:p>
          <w:p w:rsidR="002F62A5" w:rsidRPr="002F62A5" w:rsidRDefault="002F62A5" w:rsidP="002F62A5">
            <w:pPr>
              <w:pStyle w:val="ListParagraph"/>
              <w:spacing w:after="0" w:afterAutospacing="0" w:line="276" w:lineRule="auto"/>
              <w:jc w:val="both"/>
              <w:rPr>
                <w:rFonts w:ascii="Trebuchet MS" w:hAnsi="Trebuchet MS"/>
                <w:bCs/>
                <w:lang w:val="ro-RO"/>
              </w:rPr>
            </w:pPr>
          </w:p>
          <w:p w:rsidR="003D0F5F" w:rsidRPr="00AD2EC8" w:rsidRDefault="0051335F" w:rsidP="00386657">
            <w:pPr>
              <w:pStyle w:val="ListParagraph"/>
              <w:numPr>
                <w:ilvl w:val="0"/>
                <w:numId w:val="6"/>
              </w:numPr>
              <w:spacing w:after="0" w:afterAutospacing="0" w:line="276" w:lineRule="auto"/>
              <w:jc w:val="both"/>
              <w:rPr>
                <w:rFonts w:ascii="Trebuchet MS" w:hAnsi="Trebuchet MS"/>
                <w:bCs/>
                <w:lang w:val="ro-RO"/>
              </w:rPr>
            </w:pPr>
            <w:r w:rsidRPr="002F62A5">
              <w:rPr>
                <w:rFonts w:ascii="Trebuchet MS" w:hAnsi="Trebuchet MS"/>
                <w:bCs/>
                <w:lang w:val="ro-RO"/>
              </w:rPr>
              <w:t xml:space="preserve">Eliminarea unor prevederi tranzitorii cuprinse în legea în vigoare, cum este </w:t>
            </w:r>
            <w:r w:rsidR="003D0F5F" w:rsidRPr="002F62A5">
              <w:rPr>
                <w:rFonts w:ascii="Trebuchet MS" w:hAnsi="Trebuchet MS"/>
                <w:bCs/>
                <w:lang w:val="ro-RO"/>
              </w:rPr>
              <w:t>cea care permite</w:t>
            </w:r>
            <w:r w:rsidR="005F2FAD" w:rsidRPr="002F62A5">
              <w:rPr>
                <w:rFonts w:ascii="Trebuchet MS" w:hAnsi="Trebuchet MS"/>
                <w:bCs/>
                <w:lang w:val="ro-RO"/>
              </w:rPr>
              <w:t>a</w:t>
            </w:r>
            <w:r w:rsidR="003D0F5F" w:rsidRPr="002F62A5">
              <w:rPr>
                <w:rFonts w:ascii="Trebuchet MS" w:hAnsi="Trebuchet MS"/>
                <w:bCs/>
                <w:lang w:val="ro-RO"/>
              </w:rPr>
              <w:t xml:space="preserve"> judecătorilor </w:t>
            </w:r>
            <w:r w:rsidR="003D0F5F" w:rsidRPr="002F62A5">
              <w:rPr>
                <w:rFonts w:ascii="Trebuchet MS" w:eastAsiaTheme="minorHAnsi" w:hAnsi="Trebuchet MS"/>
                <w:lang w:val="ro-RO"/>
              </w:rPr>
              <w:t xml:space="preserve">Înaltei Curţi de Casaţie şi Justiţie cărora le-a expirat mandatul pentru care au fost numiţi ori, după caz, sunt eliberaţi din motive neimputabile </w:t>
            </w:r>
            <w:r w:rsidR="005F2FAD" w:rsidRPr="002F62A5">
              <w:rPr>
                <w:rFonts w:ascii="Trebuchet MS" w:eastAsiaTheme="minorHAnsi" w:hAnsi="Trebuchet MS"/>
                <w:lang w:val="ro-RO"/>
              </w:rPr>
              <w:t>să ocupe</w:t>
            </w:r>
            <w:r w:rsidR="003D0F5F" w:rsidRPr="002F62A5">
              <w:rPr>
                <w:rFonts w:ascii="Trebuchet MS" w:eastAsiaTheme="minorHAnsi" w:hAnsi="Trebuchet MS"/>
                <w:lang w:val="ro-RO"/>
              </w:rPr>
              <w:t xml:space="preserve"> o funcţie de judecător la Înalta Curte de Casaţie şi Justiţie şi </w:t>
            </w:r>
            <w:r w:rsidR="005F2FAD" w:rsidRPr="002F62A5">
              <w:rPr>
                <w:rFonts w:ascii="Trebuchet MS" w:eastAsiaTheme="minorHAnsi" w:hAnsi="Trebuchet MS"/>
                <w:lang w:val="ro-RO"/>
              </w:rPr>
              <w:t>să revină</w:t>
            </w:r>
            <w:r w:rsidR="003D0F5F" w:rsidRPr="002F62A5">
              <w:rPr>
                <w:rFonts w:ascii="Trebuchet MS" w:eastAsiaTheme="minorHAnsi" w:hAnsi="Trebuchet MS"/>
                <w:lang w:val="ro-RO"/>
              </w:rPr>
              <w:t xml:space="preserve"> pe funcţia de magistrat deţinută anterior sau pe o altă funcţie de judecător ori procuror </w:t>
            </w:r>
            <w:r w:rsidR="005F2FAD" w:rsidRPr="002F62A5">
              <w:rPr>
                <w:rFonts w:ascii="Trebuchet MS" w:eastAsiaTheme="minorHAnsi" w:hAnsi="Trebuchet MS"/>
                <w:lang w:val="ro-RO"/>
              </w:rPr>
              <w:t>sau să opteze</w:t>
            </w:r>
            <w:r w:rsidR="003D0F5F" w:rsidRPr="002F62A5">
              <w:rPr>
                <w:rFonts w:ascii="Trebuchet MS" w:eastAsiaTheme="minorHAnsi" w:hAnsi="Trebuchet MS"/>
                <w:lang w:val="ro-RO"/>
              </w:rPr>
              <w:t xml:space="preserve"> pentru intrarea în avocatură sau notariat, fără examen.</w:t>
            </w:r>
            <w:r w:rsidR="002B64CC" w:rsidRPr="002F62A5">
              <w:rPr>
                <w:rFonts w:ascii="Trebuchet MS" w:eastAsiaTheme="minorHAnsi" w:hAnsi="Trebuchet MS"/>
                <w:lang w:val="ro-RO"/>
              </w:rPr>
              <w:t xml:space="preserve"> În acest sens, este relevantă </w:t>
            </w:r>
            <w:r w:rsidR="00F841A3" w:rsidRPr="002F62A5">
              <w:rPr>
                <w:rFonts w:ascii="Trebuchet MS" w:eastAsiaTheme="minorHAnsi" w:hAnsi="Trebuchet MS"/>
                <w:lang w:val="ro-RO"/>
              </w:rPr>
              <w:t>motivarea cuprinsă în D</w:t>
            </w:r>
            <w:r w:rsidR="002B64CC" w:rsidRPr="002F62A5">
              <w:rPr>
                <w:rFonts w:ascii="Trebuchet MS" w:eastAsiaTheme="minorHAnsi" w:hAnsi="Trebuchet MS"/>
                <w:lang w:val="ro-RO"/>
              </w:rPr>
              <w:t xml:space="preserve">ecizia Curţii Constituţionale nr. 241/2020 </w:t>
            </w:r>
            <w:r w:rsidR="00F841A3" w:rsidRPr="002F62A5">
              <w:rPr>
                <w:rFonts w:ascii="Trebuchet MS" w:eastAsiaTheme="minorHAnsi" w:hAnsi="Trebuchet MS"/>
                <w:lang w:val="ro-RO"/>
              </w:rPr>
              <w:t>care explică</w:t>
            </w:r>
            <w:r w:rsidR="002B64CC" w:rsidRPr="002F62A5">
              <w:rPr>
                <w:rFonts w:ascii="Trebuchet MS" w:eastAsiaTheme="minorHAnsi" w:hAnsi="Trebuchet MS"/>
                <w:lang w:val="ro-RO"/>
              </w:rPr>
              <w:t xml:space="preserve"> raţiunea acestui text şi caracterul său tranzitoriu</w:t>
            </w:r>
            <w:r w:rsidR="00831D7F" w:rsidRPr="002F62A5">
              <w:rPr>
                <w:rFonts w:ascii="Trebuchet MS" w:eastAsiaTheme="minorHAnsi" w:hAnsi="Trebuchet MS"/>
                <w:lang w:val="ro-RO"/>
              </w:rPr>
              <w:t xml:space="preserve"> la momentul adoptării </w:t>
            </w:r>
            <w:r w:rsidR="00F841A3" w:rsidRPr="002F62A5">
              <w:rPr>
                <w:rFonts w:ascii="Trebuchet MS" w:eastAsiaTheme="minorHAnsi" w:hAnsi="Trebuchet MS"/>
                <w:lang w:val="ro-RO"/>
              </w:rPr>
              <w:t>L</w:t>
            </w:r>
            <w:r w:rsidR="00831D7F" w:rsidRPr="002F62A5">
              <w:rPr>
                <w:rFonts w:ascii="Trebuchet MS" w:eastAsiaTheme="minorHAnsi" w:hAnsi="Trebuchet MS"/>
                <w:lang w:val="ro-RO"/>
              </w:rPr>
              <w:t>egii nr. 303/2004 privind statutul judecătorilor şi procurorilor</w:t>
            </w:r>
            <w:r w:rsidR="002B64CC" w:rsidRPr="002F62A5">
              <w:rPr>
                <w:rFonts w:ascii="Trebuchet MS" w:eastAsiaTheme="minorHAnsi" w:hAnsi="Trebuchet MS"/>
                <w:lang w:val="ro-RO"/>
              </w:rPr>
              <w:t xml:space="preserve"> (par.21 din decizie)</w:t>
            </w:r>
            <w:r w:rsidR="00C307C3" w:rsidRPr="002F62A5">
              <w:rPr>
                <w:rFonts w:ascii="Trebuchet MS" w:eastAsiaTheme="minorHAnsi" w:hAnsi="Trebuchet MS"/>
                <w:lang w:val="ro-RO"/>
              </w:rPr>
              <w:t>.</w:t>
            </w:r>
          </w:p>
          <w:p w:rsidR="002F62A5" w:rsidRPr="002F62A5" w:rsidRDefault="002F62A5" w:rsidP="002F62A5">
            <w:pPr>
              <w:pStyle w:val="ListParagraph"/>
              <w:spacing w:after="0" w:afterAutospacing="0" w:line="276" w:lineRule="auto"/>
              <w:jc w:val="both"/>
              <w:rPr>
                <w:rFonts w:ascii="Trebuchet MS" w:hAnsi="Trebuchet MS"/>
                <w:bCs/>
                <w:lang w:val="ro-RO"/>
              </w:rPr>
            </w:pPr>
          </w:p>
          <w:p w:rsidR="0051335F" w:rsidRPr="002F62A5" w:rsidRDefault="00773D3A" w:rsidP="00386657">
            <w:pPr>
              <w:pStyle w:val="ListParagraph"/>
              <w:numPr>
                <w:ilvl w:val="0"/>
                <w:numId w:val="6"/>
              </w:numPr>
              <w:spacing w:after="0" w:afterAutospacing="0" w:line="276" w:lineRule="auto"/>
              <w:jc w:val="both"/>
              <w:rPr>
                <w:rFonts w:ascii="Trebuchet MS" w:hAnsi="Trebuchet MS"/>
                <w:bCs/>
                <w:lang w:val="ro-RO"/>
              </w:rPr>
            </w:pPr>
            <w:r w:rsidRPr="002F62A5">
              <w:rPr>
                <w:rFonts w:ascii="Trebuchet MS" w:hAnsi="Trebuchet MS"/>
                <w:bCs/>
                <w:lang w:val="ro-RO"/>
              </w:rPr>
              <w:t>Instituirea  la nivel de lege a dispoziţiilor referitoare la răspunderea disciplinară a personalului de specialitate juridică asimilat magistraţilor, având în vedere rigorile din jurisprudenţa recentă a Curţii Constituţionale menţionată mai sus</w:t>
            </w:r>
            <w:r w:rsidR="00164E26">
              <w:rPr>
                <w:rFonts w:ascii="Trebuchet MS" w:hAnsi="Trebuchet MS"/>
                <w:bCs/>
                <w:lang w:val="ro-RO"/>
              </w:rPr>
              <w:t>, în sensul de a se</w:t>
            </w:r>
            <w:r w:rsidR="00F750E5" w:rsidRPr="002F62A5">
              <w:rPr>
                <w:rFonts w:ascii="Trebuchet MS" w:hAnsi="Trebuchet MS"/>
                <w:bCs/>
                <w:lang w:val="ro-RO"/>
              </w:rPr>
              <w:t xml:space="preserve"> reglementa la nivel de lege </w:t>
            </w:r>
            <w:r w:rsidR="00164E26">
              <w:rPr>
                <w:rFonts w:ascii="Trebuchet MS" w:hAnsi="Trebuchet MS"/>
                <w:bCs/>
                <w:lang w:val="ro-RO"/>
              </w:rPr>
              <w:t xml:space="preserve">toate </w:t>
            </w:r>
            <w:r w:rsidR="00F750E5" w:rsidRPr="002F62A5">
              <w:rPr>
                <w:rFonts w:ascii="Trebuchet MS" w:hAnsi="Trebuchet MS"/>
                <w:bCs/>
                <w:lang w:val="ro-RO"/>
              </w:rPr>
              <w:t>a</w:t>
            </w:r>
            <w:r w:rsidR="00AD2EC8">
              <w:rPr>
                <w:rFonts w:ascii="Trebuchet MS" w:hAnsi="Trebuchet MS"/>
                <w:bCs/>
                <w:lang w:val="ro-RO"/>
              </w:rPr>
              <w:t>s</w:t>
            </w:r>
            <w:r w:rsidR="00F750E5" w:rsidRPr="002F62A5">
              <w:rPr>
                <w:rFonts w:ascii="Trebuchet MS" w:hAnsi="Trebuchet MS"/>
                <w:bCs/>
                <w:lang w:val="ro-RO"/>
              </w:rPr>
              <w:t>pectel</w:t>
            </w:r>
            <w:r w:rsidR="00164E26">
              <w:rPr>
                <w:rFonts w:ascii="Trebuchet MS" w:hAnsi="Trebuchet MS"/>
                <w:bCs/>
                <w:lang w:val="ro-RO"/>
              </w:rPr>
              <w:t>e</w:t>
            </w:r>
            <w:r w:rsidR="00F750E5" w:rsidRPr="002F62A5">
              <w:rPr>
                <w:rFonts w:ascii="Trebuchet MS" w:hAnsi="Trebuchet MS"/>
                <w:bCs/>
                <w:lang w:val="ro-RO"/>
              </w:rPr>
              <w:t xml:space="preserve"> ce privesc statutul profesional şi cariera</w:t>
            </w:r>
            <w:r w:rsidRPr="002F62A5">
              <w:rPr>
                <w:rFonts w:ascii="Trebuchet MS" w:hAnsi="Trebuchet MS"/>
                <w:bCs/>
                <w:lang w:val="ro-RO"/>
              </w:rPr>
              <w:t xml:space="preserve">. </w:t>
            </w:r>
          </w:p>
          <w:p w:rsidR="00B36CEC" w:rsidRPr="002F62A5" w:rsidRDefault="00B36CEC" w:rsidP="00386657">
            <w:pPr>
              <w:spacing w:line="276" w:lineRule="auto"/>
              <w:jc w:val="both"/>
              <w:rPr>
                <w:rFonts w:ascii="Trebuchet MS" w:hAnsi="Trebuchet MS"/>
                <w:bCs/>
                <w:sz w:val="22"/>
                <w:szCs w:val="22"/>
                <w:lang w:val="ro-RO"/>
              </w:rPr>
            </w:pPr>
          </w:p>
        </w:tc>
      </w:tr>
      <w:tr w:rsidR="008B516A" w:rsidRPr="002F62A5" w:rsidTr="00346997">
        <w:tc>
          <w:tcPr>
            <w:tcW w:w="3970" w:type="dxa"/>
          </w:tcPr>
          <w:p w:rsidR="00682D39" w:rsidRPr="002F62A5" w:rsidRDefault="00682D39" w:rsidP="00386657">
            <w:pPr>
              <w:spacing w:line="276" w:lineRule="auto"/>
              <w:rPr>
                <w:rFonts w:ascii="Trebuchet MS" w:hAnsi="Trebuchet MS" w:cs="Arial"/>
                <w:snapToGrid w:val="0"/>
                <w:sz w:val="22"/>
                <w:szCs w:val="22"/>
                <w:lang w:val="ro-RO"/>
              </w:rPr>
            </w:pPr>
            <w:r w:rsidRPr="002F62A5">
              <w:rPr>
                <w:rFonts w:ascii="Trebuchet MS" w:hAnsi="Trebuchet MS" w:cs="Arial"/>
                <w:snapToGrid w:val="0"/>
                <w:sz w:val="22"/>
                <w:szCs w:val="22"/>
                <w:lang w:val="ro-RO"/>
              </w:rPr>
              <w:lastRenderedPageBreak/>
              <w:t>3. Alte informaţii</w:t>
            </w:r>
          </w:p>
        </w:tc>
        <w:tc>
          <w:tcPr>
            <w:tcW w:w="7229" w:type="dxa"/>
            <w:gridSpan w:val="7"/>
          </w:tcPr>
          <w:p w:rsidR="00682D39" w:rsidRPr="002F62A5" w:rsidRDefault="00682D39" w:rsidP="00386657">
            <w:pPr>
              <w:spacing w:line="276" w:lineRule="auto"/>
              <w:jc w:val="both"/>
              <w:rPr>
                <w:rFonts w:ascii="Trebuchet MS" w:hAnsi="Trebuchet MS" w:cs="Arial"/>
                <w:sz w:val="22"/>
                <w:szCs w:val="22"/>
                <w:lang w:val="ro-RO"/>
              </w:rPr>
            </w:pPr>
          </w:p>
        </w:tc>
      </w:tr>
      <w:tr w:rsidR="008B516A" w:rsidRPr="002F62A5" w:rsidTr="00346997">
        <w:tc>
          <w:tcPr>
            <w:tcW w:w="11199" w:type="dxa"/>
            <w:gridSpan w:val="8"/>
          </w:tcPr>
          <w:p w:rsidR="00682D39" w:rsidRPr="002F62A5" w:rsidRDefault="00682D39" w:rsidP="00386657">
            <w:pPr>
              <w:spacing w:line="276" w:lineRule="auto"/>
              <w:jc w:val="both"/>
              <w:rPr>
                <w:rFonts w:ascii="Trebuchet MS" w:hAnsi="Trebuchet MS" w:cs="Arial"/>
                <w:b/>
                <w:snapToGrid w:val="0"/>
                <w:sz w:val="22"/>
                <w:szCs w:val="22"/>
                <w:lang w:val="ro-RO"/>
              </w:rPr>
            </w:pPr>
            <w:r w:rsidRPr="002F62A5">
              <w:rPr>
                <w:rFonts w:ascii="Trebuchet MS" w:hAnsi="Trebuchet MS" w:cs="Arial"/>
                <w:b/>
                <w:snapToGrid w:val="0"/>
                <w:sz w:val="22"/>
                <w:szCs w:val="22"/>
                <w:lang w:val="ro-RO"/>
              </w:rPr>
              <w:t>Secţiunea a 3-a – Impactul socioeconomic al proiectului de act normativ</w:t>
            </w:r>
          </w:p>
        </w:tc>
      </w:tr>
      <w:tr w:rsidR="008B516A" w:rsidRPr="002F62A5" w:rsidTr="00346997">
        <w:tc>
          <w:tcPr>
            <w:tcW w:w="3970" w:type="dxa"/>
          </w:tcPr>
          <w:p w:rsidR="00682D39" w:rsidRPr="002F62A5" w:rsidRDefault="00682D39" w:rsidP="00386657">
            <w:pPr>
              <w:spacing w:line="276" w:lineRule="auto"/>
              <w:rPr>
                <w:rFonts w:ascii="Trebuchet MS" w:hAnsi="Trebuchet MS" w:cs="Arial"/>
                <w:snapToGrid w:val="0"/>
                <w:sz w:val="22"/>
                <w:szCs w:val="22"/>
                <w:lang w:val="ro-RO"/>
              </w:rPr>
            </w:pPr>
            <w:r w:rsidRPr="002F62A5">
              <w:rPr>
                <w:rFonts w:ascii="Trebuchet MS" w:hAnsi="Trebuchet MS" w:cs="Arial"/>
                <w:snapToGrid w:val="0"/>
                <w:sz w:val="22"/>
                <w:szCs w:val="22"/>
                <w:lang w:val="ro-RO"/>
              </w:rPr>
              <w:t>1. Impactul macroeconomic</w:t>
            </w:r>
          </w:p>
        </w:tc>
        <w:tc>
          <w:tcPr>
            <w:tcW w:w="7229" w:type="dxa"/>
            <w:gridSpan w:val="7"/>
          </w:tcPr>
          <w:p w:rsidR="00682D39" w:rsidRPr="002F62A5" w:rsidRDefault="00682D39" w:rsidP="00386657">
            <w:pPr>
              <w:spacing w:line="276" w:lineRule="auto"/>
              <w:jc w:val="both"/>
              <w:rPr>
                <w:rFonts w:ascii="Trebuchet MS" w:hAnsi="Trebuchet MS" w:cs="Arial"/>
                <w:sz w:val="22"/>
                <w:szCs w:val="22"/>
                <w:lang w:val="ro-RO"/>
              </w:rPr>
            </w:pPr>
            <w:r w:rsidRPr="002F62A5">
              <w:rPr>
                <w:rFonts w:ascii="Trebuchet MS" w:hAnsi="Trebuchet MS" w:cs="Arial"/>
                <w:sz w:val="22"/>
                <w:szCs w:val="22"/>
                <w:lang w:val="ro-RO"/>
              </w:rPr>
              <w:t xml:space="preserve">Nu este cazul. </w:t>
            </w:r>
          </w:p>
        </w:tc>
      </w:tr>
      <w:tr w:rsidR="008B516A" w:rsidRPr="002F62A5" w:rsidTr="00346997">
        <w:tc>
          <w:tcPr>
            <w:tcW w:w="3970" w:type="dxa"/>
          </w:tcPr>
          <w:p w:rsidR="00682D39" w:rsidRPr="002F62A5" w:rsidRDefault="00682D39" w:rsidP="00386657">
            <w:pPr>
              <w:spacing w:line="276" w:lineRule="auto"/>
              <w:rPr>
                <w:rFonts w:ascii="Trebuchet MS" w:hAnsi="Trebuchet MS" w:cs="Arial"/>
                <w:snapToGrid w:val="0"/>
                <w:sz w:val="22"/>
                <w:szCs w:val="22"/>
                <w:lang w:val="ro-RO"/>
              </w:rPr>
            </w:pPr>
            <w:r w:rsidRPr="002F62A5">
              <w:rPr>
                <w:rFonts w:ascii="Trebuchet MS" w:hAnsi="Trebuchet MS" w:cs="Arial"/>
                <w:snapToGrid w:val="0"/>
                <w:sz w:val="22"/>
                <w:szCs w:val="22"/>
                <w:lang w:val="ro-RO"/>
              </w:rPr>
              <w:t>1</w:t>
            </w:r>
            <w:r w:rsidRPr="002F62A5">
              <w:rPr>
                <w:rFonts w:ascii="Trebuchet MS" w:hAnsi="Trebuchet MS" w:cs="Arial"/>
                <w:snapToGrid w:val="0"/>
                <w:sz w:val="22"/>
                <w:szCs w:val="22"/>
                <w:vertAlign w:val="superscript"/>
                <w:lang w:val="ro-RO"/>
              </w:rPr>
              <w:t>1</w:t>
            </w:r>
            <w:r w:rsidRPr="002F62A5">
              <w:rPr>
                <w:rFonts w:ascii="Trebuchet MS" w:hAnsi="Trebuchet MS" w:cs="Arial"/>
                <w:snapToGrid w:val="0"/>
                <w:sz w:val="22"/>
                <w:szCs w:val="22"/>
                <w:lang w:val="ro-RO"/>
              </w:rPr>
              <w:t>. Impactul asupra mediului concurențial și domeniului ajutoarelor de stat</w:t>
            </w:r>
          </w:p>
        </w:tc>
        <w:tc>
          <w:tcPr>
            <w:tcW w:w="7229" w:type="dxa"/>
            <w:gridSpan w:val="7"/>
          </w:tcPr>
          <w:p w:rsidR="00682D39" w:rsidRPr="002F62A5" w:rsidRDefault="00682D39" w:rsidP="00386657">
            <w:pPr>
              <w:spacing w:line="276" w:lineRule="auto"/>
              <w:jc w:val="both"/>
              <w:rPr>
                <w:rFonts w:ascii="Trebuchet MS" w:hAnsi="Trebuchet MS" w:cs="Arial"/>
                <w:sz w:val="22"/>
                <w:szCs w:val="22"/>
                <w:lang w:val="ro-RO"/>
              </w:rPr>
            </w:pPr>
            <w:r w:rsidRPr="002F62A5">
              <w:rPr>
                <w:rFonts w:ascii="Trebuchet MS" w:hAnsi="Trebuchet MS" w:cs="Arial"/>
                <w:sz w:val="22"/>
                <w:szCs w:val="22"/>
                <w:lang w:val="ro-RO"/>
              </w:rPr>
              <w:t xml:space="preserve">Nu este cazul </w:t>
            </w:r>
          </w:p>
        </w:tc>
      </w:tr>
      <w:tr w:rsidR="008B516A" w:rsidRPr="002F62A5" w:rsidTr="00346997">
        <w:tc>
          <w:tcPr>
            <w:tcW w:w="3970" w:type="dxa"/>
          </w:tcPr>
          <w:p w:rsidR="00682D39" w:rsidRPr="002F62A5" w:rsidRDefault="00682D39" w:rsidP="00386657">
            <w:pPr>
              <w:spacing w:line="276" w:lineRule="auto"/>
              <w:rPr>
                <w:rFonts w:ascii="Trebuchet MS" w:hAnsi="Trebuchet MS" w:cs="Arial"/>
                <w:snapToGrid w:val="0"/>
                <w:sz w:val="22"/>
                <w:szCs w:val="22"/>
                <w:lang w:val="ro-RO"/>
              </w:rPr>
            </w:pPr>
            <w:r w:rsidRPr="002F62A5">
              <w:rPr>
                <w:rFonts w:ascii="Trebuchet MS" w:hAnsi="Trebuchet MS" w:cs="Arial"/>
                <w:snapToGrid w:val="0"/>
                <w:sz w:val="22"/>
                <w:szCs w:val="22"/>
                <w:lang w:val="ro-RO"/>
              </w:rPr>
              <w:t>2. Impactul asupra mediului afaceri</w:t>
            </w:r>
          </w:p>
        </w:tc>
        <w:tc>
          <w:tcPr>
            <w:tcW w:w="7229" w:type="dxa"/>
            <w:gridSpan w:val="7"/>
          </w:tcPr>
          <w:p w:rsidR="00682D39" w:rsidRPr="002F62A5" w:rsidRDefault="00682D39" w:rsidP="00386657">
            <w:pPr>
              <w:spacing w:line="276" w:lineRule="auto"/>
              <w:jc w:val="both"/>
              <w:rPr>
                <w:rFonts w:ascii="Trebuchet MS" w:hAnsi="Trebuchet MS" w:cs="Arial"/>
                <w:sz w:val="22"/>
                <w:szCs w:val="22"/>
                <w:lang w:val="ro-RO"/>
              </w:rPr>
            </w:pPr>
            <w:r w:rsidRPr="002F62A5">
              <w:rPr>
                <w:rFonts w:ascii="Trebuchet MS" w:hAnsi="Trebuchet MS" w:cs="Arial"/>
                <w:sz w:val="22"/>
                <w:szCs w:val="22"/>
                <w:lang w:val="ro-RO"/>
              </w:rPr>
              <w:t xml:space="preserve">Nu este cazul </w:t>
            </w:r>
          </w:p>
        </w:tc>
      </w:tr>
      <w:tr w:rsidR="008B516A" w:rsidRPr="002F62A5" w:rsidTr="00346997">
        <w:tc>
          <w:tcPr>
            <w:tcW w:w="3970" w:type="dxa"/>
          </w:tcPr>
          <w:p w:rsidR="00682D39" w:rsidRPr="002F62A5" w:rsidRDefault="00682D39" w:rsidP="00386657">
            <w:pPr>
              <w:spacing w:line="276" w:lineRule="auto"/>
              <w:rPr>
                <w:rFonts w:ascii="Trebuchet MS" w:hAnsi="Trebuchet MS" w:cs="Arial"/>
                <w:snapToGrid w:val="0"/>
                <w:sz w:val="22"/>
                <w:szCs w:val="22"/>
                <w:lang w:val="ro-RO"/>
              </w:rPr>
            </w:pPr>
            <w:r w:rsidRPr="002F62A5">
              <w:rPr>
                <w:rFonts w:ascii="Trebuchet MS" w:hAnsi="Trebuchet MS" w:cs="Arial"/>
                <w:snapToGrid w:val="0"/>
                <w:sz w:val="22"/>
                <w:szCs w:val="22"/>
                <w:lang w:val="ro-RO"/>
              </w:rPr>
              <w:t>3. Impactul social</w:t>
            </w:r>
          </w:p>
        </w:tc>
        <w:tc>
          <w:tcPr>
            <w:tcW w:w="7229" w:type="dxa"/>
            <w:gridSpan w:val="7"/>
          </w:tcPr>
          <w:p w:rsidR="00682D39" w:rsidRPr="002F62A5" w:rsidRDefault="00682D39" w:rsidP="00386657">
            <w:pPr>
              <w:spacing w:line="276" w:lineRule="auto"/>
              <w:jc w:val="both"/>
              <w:rPr>
                <w:rFonts w:ascii="Trebuchet MS" w:hAnsi="Trebuchet MS" w:cs="Arial"/>
                <w:sz w:val="22"/>
                <w:szCs w:val="22"/>
                <w:lang w:val="ro-RO"/>
              </w:rPr>
            </w:pPr>
            <w:r w:rsidRPr="002F62A5">
              <w:rPr>
                <w:rFonts w:ascii="Trebuchet MS" w:hAnsi="Trebuchet MS" w:cs="Arial"/>
                <w:sz w:val="22"/>
                <w:szCs w:val="22"/>
                <w:lang w:val="ro-RO"/>
              </w:rPr>
              <w:t>Nu este cazul</w:t>
            </w:r>
          </w:p>
        </w:tc>
      </w:tr>
      <w:tr w:rsidR="008B516A" w:rsidRPr="002F62A5" w:rsidTr="00346997">
        <w:tc>
          <w:tcPr>
            <w:tcW w:w="3970" w:type="dxa"/>
          </w:tcPr>
          <w:p w:rsidR="00682D39" w:rsidRPr="002F62A5" w:rsidRDefault="00682D39" w:rsidP="00386657">
            <w:pPr>
              <w:spacing w:line="276" w:lineRule="auto"/>
              <w:rPr>
                <w:rFonts w:ascii="Trebuchet MS" w:hAnsi="Trebuchet MS" w:cs="Arial"/>
                <w:snapToGrid w:val="0"/>
                <w:sz w:val="22"/>
                <w:szCs w:val="22"/>
                <w:lang w:val="ro-RO"/>
              </w:rPr>
            </w:pPr>
            <w:r w:rsidRPr="002F62A5">
              <w:rPr>
                <w:rFonts w:ascii="Trebuchet MS" w:hAnsi="Trebuchet MS" w:cs="Arial"/>
                <w:snapToGrid w:val="0"/>
                <w:sz w:val="22"/>
                <w:szCs w:val="22"/>
                <w:lang w:val="ro-RO"/>
              </w:rPr>
              <w:t>4. Impactul asupra mediului</w:t>
            </w:r>
          </w:p>
        </w:tc>
        <w:tc>
          <w:tcPr>
            <w:tcW w:w="7229" w:type="dxa"/>
            <w:gridSpan w:val="7"/>
          </w:tcPr>
          <w:p w:rsidR="00682D39" w:rsidRPr="002F62A5" w:rsidRDefault="00682D39" w:rsidP="00386657">
            <w:pPr>
              <w:spacing w:line="276" w:lineRule="auto"/>
              <w:jc w:val="both"/>
              <w:rPr>
                <w:rFonts w:ascii="Trebuchet MS" w:hAnsi="Trebuchet MS" w:cs="Arial"/>
                <w:sz w:val="22"/>
                <w:szCs w:val="22"/>
                <w:lang w:val="ro-RO"/>
              </w:rPr>
            </w:pPr>
            <w:r w:rsidRPr="002F62A5">
              <w:rPr>
                <w:rFonts w:ascii="Trebuchet MS" w:hAnsi="Trebuchet MS" w:cs="Arial"/>
                <w:sz w:val="22"/>
                <w:szCs w:val="22"/>
                <w:lang w:val="ro-RO"/>
              </w:rPr>
              <w:t>Nu este cazul</w:t>
            </w:r>
          </w:p>
        </w:tc>
      </w:tr>
      <w:tr w:rsidR="008B516A" w:rsidRPr="002F62A5" w:rsidTr="00346997">
        <w:tc>
          <w:tcPr>
            <w:tcW w:w="3970" w:type="dxa"/>
          </w:tcPr>
          <w:p w:rsidR="00682D39" w:rsidRPr="002F62A5" w:rsidRDefault="00682D39" w:rsidP="00386657">
            <w:pPr>
              <w:spacing w:line="276" w:lineRule="auto"/>
              <w:rPr>
                <w:rFonts w:ascii="Trebuchet MS" w:hAnsi="Trebuchet MS" w:cs="Arial"/>
                <w:snapToGrid w:val="0"/>
                <w:sz w:val="22"/>
                <w:szCs w:val="22"/>
                <w:lang w:val="ro-RO"/>
              </w:rPr>
            </w:pPr>
            <w:r w:rsidRPr="002F62A5">
              <w:rPr>
                <w:rFonts w:ascii="Trebuchet MS" w:hAnsi="Trebuchet MS" w:cs="Arial"/>
                <w:snapToGrid w:val="0"/>
                <w:sz w:val="22"/>
                <w:szCs w:val="22"/>
                <w:lang w:val="ro-RO"/>
              </w:rPr>
              <w:t>5. Alte informaţii</w:t>
            </w:r>
          </w:p>
        </w:tc>
        <w:tc>
          <w:tcPr>
            <w:tcW w:w="7229" w:type="dxa"/>
            <w:gridSpan w:val="7"/>
          </w:tcPr>
          <w:p w:rsidR="00682D39" w:rsidRPr="002F62A5" w:rsidRDefault="00682D39" w:rsidP="00386657">
            <w:pPr>
              <w:spacing w:line="276" w:lineRule="auto"/>
              <w:jc w:val="both"/>
              <w:rPr>
                <w:rFonts w:ascii="Trebuchet MS" w:hAnsi="Trebuchet MS" w:cs="Arial"/>
                <w:sz w:val="22"/>
                <w:szCs w:val="22"/>
                <w:lang w:val="ro-RO"/>
              </w:rPr>
            </w:pPr>
          </w:p>
        </w:tc>
      </w:tr>
      <w:tr w:rsidR="008B516A" w:rsidRPr="002F62A5" w:rsidTr="00346997">
        <w:tc>
          <w:tcPr>
            <w:tcW w:w="11199" w:type="dxa"/>
            <w:gridSpan w:val="8"/>
          </w:tcPr>
          <w:p w:rsidR="00682D39" w:rsidRPr="002F62A5" w:rsidRDefault="00682D39" w:rsidP="00386657">
            <w:pPr>
              <w:autoSpaceDE w:val="0"/>
              <w:autoSpaceDN w:val="0"/>
              <w:adjustRightInd w:val="0"/>
              <w:spacing w:line="276" w:lineRule="auto"/>
              <w:jc w:val="both"/>
              <w:rPr>
                <w:rFonts w:ascii="Trebuchet MS" w:hAnsi="Trebuchet MS" w:cs="Arial"/>
                <w:b/>
                <w:snapToGrid w:val="0"/>
                <w:sz w:val="22"/>
                <w:szCs w:val="22"/>
                <w:lang w:val="ro-RO"/>
              </w:rPr>
            </w:pPr>
            <w:r w:rsidRPr="002F62A5">
              <w:rPr>
                <w:rFonts w:ascii="Trebuchet MS" w:hAnsi="Trebuchet MS" w:cs="Arial"/>
                <w:b/>
                <w:snapToGrid w:val="0"/>
                <w:sz w:val="22"/>
                <w:szCs w:val="22"/>
                <w:lang w:val="ro-RO"/>
              </w:rPr>
              <w:t>Secţiunea a 4-a – Impactul financiar asupra bugetului general consolidat, atât pe termen scurt, pentru anul curent, cât şi pe termen lung (5 ani).</w:t>
            </w:r>
          </w:p>
        </w:tc>
      </w:tr>
      <w:tr w:rsidR="008B516A" w:rsidRPr="002F62A5" w:rsidTr="00346997">
        <w:tc>
          <w:tcPr>
            <w:tcW w:w="11199" w:type="dxa"/>
            <w:gridSpan w:val="8"/>
          </w:tcPr>
          <w:p w:rsidR="00682D39" w:rsidRPr="002F62A5" w:rsidRDefault="00682D39" w:rsidP="00386657">
            <w:pPr>
              <w:spacing w:line="276" w:lineRule="auto"/>
              <w:jc w:val="right"/>
              <w:rPr>
                <w:rFonts w:ascii="Trebuchet MS" w:hAnsi="Trebuchet MS" w:cs="Arial"/>
                <w:snapToGrid w:val="0"/>
                <w:sz w:val="22"/>
                <w:szCs w:val="22"/>
                <w:lang w:val="ro-RO"/>
              </w:rPr>
            </w:pPr>
            <w:r w:rsidRPr="002F62A5">
              <w:rPr>
                <w:rFonts w:ascii="Trebuchet MS" w:hAnsi="Trebuchet MS" w:cs="Arial"/>
                <w:snapToGrid w:val="0"/>
                <w:sz w:val="22"/>
                <w:szCs w:val="22"/>
                <w:lang w:val="ro-RO"/>
              </w:rPr>
              <w:t>- mii lei -</w:t>
            </w:r>
          </w:p>
        </w:tc>
      </w:tr>
      <w:tr w:rsidR="008B516A" w:rsidRPr="002F62A5" w:rsidTr="00346997">
        <w:tc>
          <w:tcPr>
            <w:tcW w:w="4631" w:type="dxa"/>
            <w:gridSpan w:val="2"/>
          </w:tcPr>
          <w:p w:rsidR="00682D39" w:rsidRPr="002F62A5" w:rsidRDefault="00682D39" w:rsidP="00386657">
            <w:pPr>
              <w:spacing w:line="276" w:lineRule="auto"/>
              <w:jc w:val="center"/>
              <w:rPr>
                <w:rFonts w:ascii="Trebuchet MS" w:hAnsi="Trebuchet MS" w:cs="Arial"/>
                <w:snapToGrid w:val="0"/>
                <w:sz w:val="22"/>
                <w:szCs w:val="22"/>
                <w:lang w:val="ro-RO"/>
              </w:rPr>
            </w:pPr>
            <w:r w:rsidRPr="002F62A5">
              <w:rPr>
                <w:rFonts w:ascii="Trebuchet MS" w:hAnsi="Trebuchet MS" w:cs="Arial"/>
                <w:snapToGrid w:val="0"/>
                <w:sz w:val="22"/>
                <w:szCs w:val="22"/>
                <w:lang w:val="ro-RO"/>
              </w:rPr>
              <w:t>Indicatori</w:t>
            </w:r>
          </w:p>
        </w:tc>
        <w:tc>
          <w:tcPr>
            <w:tcW w:w="104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r w:rsidRPr="002F62A5">
              <w:rPr>
                <w:rFonts w:ascii="Trebuchet MS" w:hAnsi="Trebuchet MS" w:cs="Arial"/>
                <w:sz w:val="22"/>
                <w:szCs w:val="22"/>
                <w:lang w:val="ro-RO"/>
              </w:rPr>
              <w:t>Anul curent</w:t>
            </w:r>
          </w:p>
          <w:p w:rsidR="00682D39" w:rsidRPr="002F62A5" w:rsidRDefault="00682D39" w:rsidP="00386657">
            <w:pPr>
              <w:spacing w:line="276" w:lineRule="auto"/>
              <w:jc w:val="center"/>
              <w:rPr>
                <w:rFonts w:ascii="Trebuchet MS" w:hAnsi="Trebuchet MS" w:cs="Arial"/>
                <w:sz w:val="22"/>
                <w:szCs w:val="22"/>
                <w:lang w:val="ro-RO"/>
              </w:rPr>
            </w:pPr>
          </w:p>
        </w:tc>
        <w:tc>
          <w:tcPr>
            <w:tcW w:w="4320" w:type="dxa"/>
            <w:gridSpan w:val="4"/>
            <w:shd w:val="clear" w:color="auto" w:fill="auto"/>
          </w:tcPr>
          <w:p w:rsidR="00682D39" w:rsidRPr="002F62A5" w:rsidRDefault="00682D39" w:rsidP="00386657">
            <w:pPr>
              <w:spacing w:line="276" w:lineRule="auto"/>
              <w:jc w:val="center"/>
              <w:rPr>
                <w:rFonts w:ascii="Trebuchet MS" w:hAnsi="Trebuchet MS" w:cs="Arial"/>
                <w:sz w:val="22"/>
                <w:szCs w:val="22"/>
                <w:lang w:val="ro-RO"/>
              </w:rPr>
            </w:pPr>
            <w:r w:rsidRPr="002F62A5">
              <w:rPr>
                <w:rFonts w:ascii="Trebuchet MS" w:hAnsi="Trebuchet MS" w:cs="Arial"/>
                <w:sz w:val="22"/>
                <w:szCs w:val="22"/>
                <w:lang w:val="ro-RO"/>
              </w:rPr>
              <w:t>Următorii 4 ani</w:t>
            </w:r>
          </w:p>
        </w:tc>
        <w:tc>
          <w:tcPr>
            <w:tcW w:w="1208"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r w:rsidRPr="002F62A5">
              <w:rPr>
                <w:rFonts w:ascii="Trebuchet MS" w:hAnsi="Trebuchet MS" w:cs="Arial"/>
                <w:sz w:val="22"/>
                <w:szCs w:val="22"/>
                <w:lang w:val="ro-RO"/>
              </w:rPr>
              <w:t>Media pe 5 ani</w:t>
            </w:r>
          </w:p>
        </w:tc>
      </w:tr>
      <w:tr w:rsidR="008B516A" w:rsidRPr="002F62A5" w:rsidTr="00346997">
        <w:tc>
          <w:tcPr>
            <w:tcW w:w="4631" w:type="dxa"/>
            <w:gridSpan w:val="2"/>
          </w:tcPr>
          <w:p w:rsidR="00682D39" w:rsidRPr="002F62A5" w:rsidRDefault="00682D39" w:rsidP="00386657">
            <w:pPr>
              <w:spacing w:line="276" w:lineRule="auto"/>
              <w:jc w:val="center"/>
              <w:rPr>
                <w:rFonts w:ascii="Trebuchet MS" w:hAnsi="Trebuchet MS" w:cs="Arial"/>
                <w:snapToGrid w:val="0"/>
                <w:sz w:val="22"/>
                <w:szCs w:val="22"/>
                <w:lang w:val="ro-RO"/>
              </w:rPr>
            </w:pPr>
            <w:r w:rsidRPr="002F62A5">
              <w:rPr>
                <w:rFonts w:ascii="Trebuchet MS" w:hAnsi="Trebuchet MS" w:cs="Arial"/>
                <w:snapToGrid w:val="0"/>
                <w:sz w:val="22"/>
                <w:szCs w:val="22"/>
                <w:lang w:val="ro-RO"/>
              </w:rPr>
              <w:t>1</w:t>
            </w:r>
          </w:p>
        </w:tc>
        <w:tc>
          <w:tcPr>
            <w:tcW w:w="104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r w:rsidRPr="002F62A5">
              <w:rPr>
                <w:rFonts w:ascii="Trebuchet MS" w:hAnsi="Trebuchet MS" w:cs="Arial"/>
                <w:sz w:val="22"/>
                <w:szCs w:val="22"/>
                <w:lang w:val="ro-RO"/>
              </w:rPr>
              <w:t>2</w:t>
            </w:r>
          </w:p>
          <w:p w:rsidR="00682D39" w:rsidRPr="002F62A5" w:rsidRDefault="00026553" w:rsidP="00386657">
            <w:pPr>
              <w:spacing w:line="276" w:lineRule="auto"/>
              <w:jc w:val="center"/>
              <w:rPr>
                <w:rFonts w:ascii="Trebuchet MS" w:hAnsi="Trebuchet MS" w:cs="Arial"/>
                <w:sz w:val="22"/>
                <w:szCs w:val="22"/>
                <w:lang w:val="ro-RO"/>
              </w:rPr>
            </w:pPr>
            <w:r w:rsidRPr="002F62A5">
              <w:rPr>
                <w:rFonts w:ascii="Trebuchet MS" w:hAnsi="Trebuchet MS" w:cs="Arial"/>
                <w:sz w:val="22"/>
                <w:szCs w:val="22"/>
                <w:lang w:val="ro-RO"/>
              </w:rPr>
              <w:lastRenderedPageBreak/>
              <w:t>20</w:t>
            </w:r>
            <w:r w:rsidR="000A1A99" w:rsidRPr="002F62A5">
              <w:rPr>
                <w:rFonts w:ascii="Trebuchet MS" w:hAnsi="Trebuchet MS" w:cs="Arial"/>
                <w:sz w:val="22"/>
                <w:szCs w:val="22"/>
                <w:lang w:val="ro-RO"/>
              </w:rPr>
              <w:t>20</w:t>
            </w:r>
          </w:p>
        </w:tc>
        <w:tc>
          <w:tcPr>
            <w:tcW w:w="108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r w:rsidRPr="002F62A5">
              <w:rPr>
                <w:rFonts w:ascii="Trebuchet MS" w:hAnsi="Trebuchet MS" w:cs="Arial"/>
                <w:sz w:val="22"/>
                <w:szCs w:val="22"/>
                <w:lang w:val="ro-RO"/>
              </w:rPr>
              <w:lastRenderedPageBreak/>
              <w:t>3</w:t>
            </w:r>
          </w:p>
          <w:p w:rsidR="00682D39" w:rsidRPr="002F62A5" w:rsidRDefault="00682D39" w:rsidP="00386657">
            <w:pPr>
              <w:spacing w:line="276" w:lineRule="auto"/>
              <w:jc w:val="center"/>
              <w:rPr>
                <w:rFonts w:ascii="Trebuchet MS" w:hAnsi="Trebuchet MS" w:cs="Arial"/>
                <w:sz w:val="22"/>
                <w:szCs w:val="22"/>
                <w:lang w:val="ro-RO"/>
              </w:rPr>
            </w:pPr>
            <w:r w:rsidRPr="002F62A5">
              <w:rPr>
                <w:rFonts w:ascii="Trebuchet MS" w:hAnsi="Trebuchet MS" w:cs="Arial"/>
                <w:sz w:val="22"/>
                <w:szCs w:val="22"/>
                <w:lang w:val="ro-RO"/>
              </w:rPr>
              <w:lastRenderedPageBreak/>
              <w:t>20</w:t>
            </w:r>
            <w:r w:rsidR="000A1A99" w:rsidRPr="002F62A5">
              <w:rPr>
                <w:rFonts w:ascii="Trebuchet MS" w:hAnsi="Trebuchet MS" w:cs="Arial"/>
                <w:sz w:val="22"/>
                <w:szCs w:val="22"/>
                <w:lang w:val="ro-RO"/>
              </w:rPr>
              <w:t>21</w:t>
            </w:r>
          </w:p>
        </w:tc>
        <w:tc>
          <w:tcPr>
            <w:tcW w:w="108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r w:rsidRPr="002F62A5">
              <w:rPr>
                <w:rFonts w:ascii="Trebuchet MS" w:hAnsi="Trebuchet MS" w:cs="Arial"/>
                <w:sz w:val="22"/>
                <w:szCs w:val="22"/>
                <w:lang w:val="ro-RO"/>
              </w:rPr>
              <w:lastRenderedPageBreak/>
              <w:t>4</w:t>
            </w:r>
          </w:p>
          <w:p w:rsidR="00682D39" w:rsidRPr="002F62A5" w:rsidRDefault="00682D39" w:rsidP="00386657">
            <w:pPr>
              <w:spacing w:line="276" w:lineRule="auto"/>
              <w:jc w:val="center"/>
              <w:rPr>
                <w:rFonts w:ascii="Trebuchet MS" w:hAnsi="Trebuchet MS" w:cs="Arial"/>
                <w:sz w:val="22"/>
                <w:szCs w:val="22"/>
                <w:lang w:val="ro-RO"/>
              </w:rPr>
            </w:pPr>
            <w:r w:rsidRPr="002F62A5">
              <w:rPr>
                <w:rFonts w:ascii="Trebuchet MS" w:hAnsi="Trebuchet MS" w:cs="Arial"/>
                <w:sz w:val="22"/>
                <w:szCs w:val="22"/>
                <w:lang w:val="ro-RO"/>
              </w:rPr>
              <w:lastRenderedPageBreak/>
              <w:t>20</w:t>
            </w:r>
            <w:r w:rsidR="000A1A99" w:rsidRPr="002F62A5">
              <w:rPr>
                <w:rFonts w:ascii="Trebuchet MS" w:hAnsi="Trebuchet MS" w:cs="Arial"/>
                <w:sz w:val="22"/>
                <w:szCs w:val="22"/>
                <w:lang w:val="ro-RO"/>
              </w:rPr>
              <w:t>22</w:t>
            </w:r>
          </w:p>
        </w:tc>
        <w:tc>
          <w:tcPr>
            <w:tcW w:w="108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r w:rsidRPr="002F62A5">
              <w:rPr>
                <w:rFonts w:ascii="Trebuchet MS" w:hAnsi="Trebuchet MS" w:cs="Arial"/>
                <w:sz w:val="22"/>
                <w:szCs w:val="22"/>
                <w:lang w:val="ro-RO"/>
              </w:rPr>
              <w:lastRenderedPageBreak/>
              <w:t>5</w:t>
            </w:r>
          </w:p>
          <w:p w:rsidR="00682D39" w:rsidRPr="002F62A5" w:rsidRDefault="00682D39" w:rsidP="00386657">
            <w:pPr>
              <w:spacing w:line="276" w:lineRule="auto"/>
              <w:jc w:val="center"/>
              <w:rPr>
                <w:rFonts w:ascii="Trebuchet MS" w:hAnsi="Trebuchet MS" w:cs="Arial"/>
                <w:sz w:val="22"/>
                <w:szCs w:val="22"/>
                <w:lang w:val="ro-RO"/>
              </w:rPr>
            </w:pPr>
            <w:r w:rsidRPr="002F62A5">
              <w:rPr>
                <w:rFonts w:ascii="Trebuchet MS" w:hAnsi="Trebuchet MS" w:cs="Arial"/>
                <w:sz w:val="22"/>
                <w:szCs w:val="22"/>
                <w:lang w:val="ro-RO"/>
              </w:rPr>
              <w:lastRenderedPageBreak/>
              <w:t>20</w:t>
            </w:r>
            <w:r w:rsidR="00026553" w:rsidRPr="002F62A5">
              <w:rPr>
                <w:rFonts w:ascii="Trebuchet MS" w:hAnsi="Trebuchet MS" w:cs="Arial"/>
                <w:sz w:val="22"/>
                <w:szCs w:val="22"/>
                <w:lang w:val="ro-RO"/>
              </w:rPr>
              <w:t>2</w:t>
            </w:r>
            <w:r w:rsidR="000A1A99" w:rsidRPr="002F62A5">
              <w:rPr>
                <w:rFonts w:ascii="Trebuchet MS" w:hAnsi="Trebuchet MS" w:cs="Arial"/>
                <w:sz w:val="22"/>
                <w:szCs w:val="22"/>
                <w:lang w:val="ro-RO"/>
              </w:rPr>
              <w:t>3</w:t>
            </w:r>
          </w:p>
        </w:tc>
        <w:tc>
          <w:tcPr>
            <w:tcW w:w="108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r w:rsidRPr="002F62A5">
              <w:rPr>
                <w:rFonts w:ascii="Trebuchet MS" w:hAnsi="Trebuchet MS" w:cs="Arial"/>
                <w:sz w:val="22"/>
                <w:szCs w:val="22"/>
                <w:lang w:val="ro-RO"/>
              </w:rPr>
              <w:lastRenderedPageBreak/>
              <w:t>6</w:t>
            </w:r>
          </w:p>
          <w:p w:rsidR="00682D39" w:rsidRPr="002F62A5" w:rsidRDefault="00682D39" w:rsidP="00386657">
            <w:pPr>
              <w:spacing w:line="276" w:lineRule="auto"/>
              <w:jc w:val="center"/>
              <w:rPr>
                <w:rFonts w:ascii="Trebuchet MS" w:hAnsi="Trebuchet MS" w:cs="Arial"/>
                <w:sz w:val="22"/>
                <w:szCs w:val="22"/>
                <w:lang w:val="ro-RO"/>
              </w:rPr>
            </w:pPr>
            <w:r w:rsidRPr="002F62A5">
              <w:rPr>
                <w:rFonts w:ascii="Trebuchet MS" w:hAnsi="Trebuchet MS" w:cs="Arial"/>
                <w:sz w:val="22"/>
                <w:szCs w:val="22"/>
                <w:lang w:val="ro-RO"/>
              </w:rPr>
              <w:lastRenderedPageBreak/>
              <w:t>202</w:t>
            </w:r>
            <w:r w:rsidR="000A1A99" w:rsidRPr="002F62A5">
              <w:rPr>
                <w:rFonts w:ascii="Trebuchet MS" w:hAnsi="Trebuchet MS" w:cs="Arial"/>
                <w:sz w:val="22"/>
                <w:szCs w:val="22"/>
                <w:lang w:val="ro-RO"/>
              </w:rPr>
              <w:t>4</w:t>
            </w:r>
          </w:p>
        </w:tc>
        <w:tc>
          <w:tcPr>
            <w:tcW w:w="1208"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r w:rsidRPr="002F62A5">
              <w:rPr>
                <w:rFonts w:ascii="Trebuchet MS" w:hAnsi="Trebuchet MS" w:cs="Arial"/>
                <w:sz w:val="22"/>
                <w:szCs w:val="22"/>
                <w:lang w:val="ro-RO"/>
              </w:rPr>
              <w:lastRenderedPageBreak/>
              <w:t>7</w:t>
            </w:r>
          </w:p>
        </w:tc>
      </w:tr>
      <w:tr w:rsidR="008B516A" w:rsidRPr="002F62A5" w:rsidTr="00346997">
        <w:tc>
          <w:tcPr>
            <w:tcW w:w="4631" w:type="dxa"/>
            <w:gridSpan w:val="2"/>
          </w:tcPr>
          <w:p w:rsidR="00682D39" w:rsidRPr="002F62A5" w:rsidRDefault="00682D39" w:rsidP="00386657">
            <w:pPr>
              <w:spacing w:line="276" w:lineRule="auto"/>
              <w:rPr>
                <w:rFonts w:ascii="Trebuchet MS" w:hAnsi="Trebuchet MS" w:cs="Arial"/>
                <w:snapToGrid w:val="0"/>
                <w:sz w:val="22"/>
                <w:szCs w:val="22"/>
                <w:lang w:val="ro-RO"/>
              </w:rPr>
            </w:pPr>
            <w:r w:rsidRPr="002F62A5">
              <w:rPr>
                <w:rFonts w:ascii="Trebuchet MS" w:hAnsi="Trebuchet MS" w:cs="Arial"/>
                <w:snapToGrid w:val="0"/>
                <w:sz w:val="22"/>
                <w:szCs w:val="22"/>
                <w:lang w:val="ro-RO"/>
              </w:rPr>
              <w:t>1. Modificări ale veniturilor bugetare, plus/minus, din care:</w:t>
            </w:r>
          </w:p>
        </w:tc>
        <w:tc>
          <w:tcPr>
            <w:tcW w:w="6568" w:type="dxa"/>
            <w:gridSpan w:val="6"/>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r>
      <w:tr w:rsidR="008B516A" w:rsidRPr="005A09FF" w:rsidTr="00346997">
        <w:tc>
          <w:tcPr>
            <w:tcW w:w="4631" w:type="dxa"/>
            <w:gridSpan w:val="2"/>
          </w:tcPr>
          <w:p w:rsidR="00682D39" w:rsidRPr="002F62A5" w:rsidRDefault="00682D39" w:rsidP="00386657">
            <w:pPr>
              <w:spacing w:line="276" w:lineRule="auto"/>
              <w:rPr>
                <w:rFonts w:ascii="Trebuchet MS" w:hAnsi="Trebuchet MS" w:cs="Arial"/>
                <w:snapToGrid w:val="0"/>
                <w:sz w:val="22"/>
                <w:szCs w:val="22"/>
                <w:lang w:val="ro-RO"/>
              </w:rPr>
            </w:pPr>
            <w:r w:rsidRPr="002F62A5">
              <w:rPr>
                <w:rFonts w:ascii="Trebuchet MS" w:hAnsi="Trebuchet MS" w:cs="Arial"/>
                <w:snapToGrid w:val="0"/>
                <w:sz w:val="22"/>
                <w:szCs w:val="22"/>
                <w:lang w:val="ro-RO"/>
              </w:rPr>
              <w:t>a) buget de stat, din acesta:</w:t>
            </w:r>
          </w:p>
        </w:tc>
        <w:tc>
          <w:tcPr>
            <w:tcW w:w="104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208"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r>
      <w:tr w:rsidR="008B516A" w:rsidRPr="002F62A5" w:rsidTr="00346997">
        <w:tc>
          <w:tcPr>
            <w:tcW w:w="4631" w:type="dxa"/>
            <w:gridSpan w:val="2"/>
          </w:tcPr>
          <w:p w:rsidR="00682D39" w:rsidRPr="002F62A5" w:rsidRDefault="00682D39" w:rsidP="00386657">
            <w:pPr>
              <w:spacing w:line="276" w:lineRule="auto"/>
              <w:rPr>
                <w:rFonts w:ascii="Trebuchet MS" w:hAnsi="Trebuchet MS" w:cs="Arial"/>
                <w:snapToGrid w:val="0"/>
                <w:sz w:val="22"/>
                <w:szCs w:val="22"/>
                <w:lang w:val="ro-RO"/>
              </w:rPr>
            </w:pPr>
            <w:r w:rsidRPr="002F62A5">
              <w:rPr>
                <w:rFonts w:ascii="Trebuchet MS" w:hAnsi="Trebuchet MS" w:cs="Arial"/>
                <w:snapToGrid w:val="0"/>
                <w:sz w:val="22"/>
                <w:szCs w:val="22"/>
                <w:lang w:val="ro-RO"/>
              </w:rPr>
              <w:t>(i) impozit pe profit</w:t>
            </w:r>
          </w:p>
        </w:tc>
        <w:tc>
          <w:tcPr>
            <w:tcW w:w="104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208"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r>
      <w:tr w:rsidR="008B516A" w:rsidRPr="002F62A5" w:rsidTr="00346997">
        <w:tc>
          <w:tcPr>
            <w:tcW w:w="4631" w:type="dxa"/>
            <w:gridSpan w:val="2"/>
          </w:tcPr>
          <w:p w:rsidR="00682D39" w:rsidRPr="002F62A5" w:rsidRDefault="00682D39" w:rsidP="00386657">
            <w:pPr>
              <w:spacing w:line="276" w:lineRule="auto"/>
              <w:rPr>
                <w:rFonts w:ascii="Trebuchet MS" w:hAnsi="Trebuchet MS" w:cs="Arial"/>
                <w:snapToGrid w:val="0"/>
                <w:sz w:val="22"/>
                <w:szCs w:val="22"/>
                <w:lang w:val="ro-RO"/>
              </w:rPr>
            </w:pPr>
            <w:r w:rsidRPr="002F62A5">
              <w:rPr>
                <w:rFonts w:ascii="Trebuchet MS" w:hAnsi="Trebuchet MS" w:cs="Arial"/>
                <w:snapToGrid w:val="0"/>
                <w:sz w:val="22"/>
                <w:szCs w:val="22"/>
                <w:lang w:val="ro-RO"/>
              </w:rPr>
              <w:t>(ii) impozit pe venit</w:t>
            </w:r>
          </w:p>
        </w:tc>
        <w:tc>
          <w:tcPr>
            <w:tcW w:w="104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208"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r>
      <w:tr w:rsidR="008B516A" w:rsidRPr="002F62A5" w:rsidTr="00346997">
        <w:tc>
          <w:tcPr>
            <w:tcW w:w="4631" w:type="dxa"/>
            <w:gridSpan w:val="2"/>
          </w:tcPr>
          <w:p w:rsidR="00682D39" w:rsidRPr="002F62A5" w:rsidRDefault="00682D39" w:rsidP="00386657">
            <w:pPr>
              <w:spacing w:line="276" w:lineRule="auto"/>
              <w:rPr>
                <w:rFonts w:ascii="Trebuchet MS" w:hAnsi="Trebuchet MS" w:cs="Arial"/>
                <w:snapToGrid w:val="0"/>
                <w:sz w:val="22"/>
                <w:szCs w:val="22"/>
                <w:lang w:val="ro-RO"/>
              </w:rPr>
            </w:pPr>
            <w:r w:rsidRPr="002F62A5">
              <w:rPr>
                <w:rFonts w:ascii="Trebuchet MS" w:hAnsi="Trebuchet MS" w:cs="Arial"/>
                <w:snapToGrid w:val="0"/>
                <w:sz w:val="22"/>
                <w:szCs w:val="22"/>
                <w:lang w:val="ro-RO"/>
              </w:rPr>
              <w:t>b) bugete locale:</w:t>
            </w:r>
          </w:p>
        </w:tc>
        <w:tc>
          <w:tcPr>
            <w:tcW w:w="104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208"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r>
      <w:tr w:rsidR="008B516A" w:rsidRPr="002F62A5" w:rsidTr="00346997">
        <w:tc>
          <w:tcPr>
            <w:tcW w:w="4631" w:type="dxa"/>
            <w:gridSpan w:val="2"/>
          </w:tcPr>
          <w:p w:rsidR="00682D39" w:rsidRPr="002F62A5" w:rsidRDefault="00682D39" w:rsidP="00386657">
            <w:pPr>
              <w:spacing w:line="276" w:lineRule="auto"/>
              <w:rPr>
                <w:rFonts w:ascii="Trebuchet MS" w:hAnsi="Trebuchet MS" w:cs="Arial"/>
                <w:snapToGrid w:val="0"/>
                <w:sz w:val="22"/>
                <w:szCs w:val="22"/>
                <w:lang w:val="ro-RO"/>
              </w:rPr>
            </w:pPr>
            <w:r w:rsidRPr="002F62A5">
              <w:rPr>
                <w:rFonts w:ascii="Trebuchet MS" w:hAnsi="Trebuchet MS" w:cs="Arial"/>
                <w:snapToGrid w:val="0"/>
                <w:sz w:val="22"/>
                <w:szCs w:val="22"/>
                <w:lang w:val="ro-RO"/>
              </w:rPr>
              <w:t>(i) impozit pe profit</w:t>
            </w:r>
          </w:p>
        </w:tc>
        <w:tc>
          <w:tcPr>
            <w:tcW w:w="104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208"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r>
      <w:tr w:rsidR="008B516A" w:rsidRPr="005A09FF" w:rsidTr="00346997">
        <w:tc>
          <w:tcPr>
            <w:tcW w:w="4631" w:type="dxa"/>
            <w:gridSpan w:val="2"/>
          </w:tcPr>
          <w:p w:rsidR="00682D39" w:rsidRPr="002F62A5" w:rsidRDefault="00682D39" w:rsidP="00386657">
            <w:pPr>
              <w:spacing w:line="276" w:lineRule="auto"/>
              <w:rPr>
                <w:rFonts w:ascii="Trebuchet MS" w:hAnsi="Trebuchet MS" w:cs="Arial"/>
                <w:snapToGrid w:val="0"/>
                <w:sz w:val="22"/>
                <w:szCs w:val="22"/>
                <w:lang w:val="ro-RO"/>
              </w:rPr>
            </w:pPr>
            <w:r w:rsidRPr="002F62A5">
              <w:rPr>
                <w:rFonts w:ascii="Trebuchet MS" w:hAnsi="Trebuchet MS" w:cs="Arial"/>
                <w:snapToGrid w:val="0"/>
                <w:sz w:val="22"/>
                <w:szCs w:val="22"/>
                <w:lang w:val="ro-RO"/>
              </w:rPr>
              <w:t>c) bugetul asigurărilor sociale de stat:</w:t>
            </w:r>
          </w:p>
        </w:tc>
        <w:tc>
          <w:tcPr>
            <w:tcW w:w="104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208"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r>
      <w:tr w:rsidR="008B516A" w:rsidRPr="002F62A5" w:rsidTr="00346997">
        <w:tc>
          <w:tcPr>
            <w:tcW w:w="4631" w:type="dxa"/>
            <w:gridSpan w:val="2"/>
          </w:tcPr>
          <w:p w:rsidR="00682D39" w:rsidRPr="002F62A5" w:rsidRDefault="00682D39" w:rsidP="00386657">
            <w:pPr>
              <w:spacing w:line="276" w:lineRule="auto"/>
              <w:rPr>
                <w:rFonts w:ascii="Trebuchet MS" w:hAnsi="Trebuchet MS" w:cs="Arial"/>
                <w:snapToGrid w:val="0"/>
                <w:sz w:val="22"/>
                <w:szCs w:val="22"/>
                <w:lang w:val="ro-RO"/>
              </w:rPr>
            </w:pPr>
            <w:r w:rsidRPr="002F62A5">
              <w:rPr>
                <w:rFonts w:ascii="Trebuchet MS" w:hAnsi="Trebuchet MS" w:cs="Arial"/>
                <w:snapToGrid w:val="0"/>
                <w:sz w:val="22"/>
                <w:szCs w:val="22"/>
                <w:lang w:val="ro-RO"/>
              </w:rPr>
              <w:t>(i) contribuţii de asigurări</w:t>
            </w:r>
          </w:p>
        </w:tc>
        <w:tc>
          <w:tcPr>
            <w:tcW w:w="104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208"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r>
      <w:tr w:rsidR="008B516A" w:rsidRPr="002F62A5" w:rsidTr="00346997">
        <w:tc>
          <w:tcPr>
            <w:tcW w:w="4631" w:type="dxa"/>
            <w:gridSpan w:val="2"/>
          </w:tcPr>
          <w:p w:rsidR="00682D39" w:rsidRPr="002F62A5" w:rsidRDefault="00682D39" w:rsidP="00386657">
            <w:pPr>
              <w:spacing w:line="276" w:lineRule="auto"/>
              <w:rPr>
                <w:rFonts w:ascii="Trebuchet MS" w:hAnsi="Trebuchet MS" w:cs="Arial"/>
                <w:snapToGrid w:val="0"/>
                <w:sz w:val="22"/>
                <w:szCs w:val="22"/>
                <w:lang w:val="ro-RO"/>
              </w:rPr>
            </w:pPr>
            <w:r w:rsidRPr="002F62A5">
              <w:rPr>
                <w:rFonts w:ascii="Trebuchet MS" w:hAnsi="Trebuchet MS" w:cs="Arial"/>
                <w:snapToGrid w:val="0"/>
                <w:sz w:val="22"/>
                <w:szCs w:val="22"/>
                <w:lang w:val="ro-RO"/>
              </w:rPr>
              <w:t>2. Modificări ale cheltuielilor bugetare, plus/minus, din care:</w:t>
            </w:r>
          </w:p>
        </w:tc>
        <w:tc>
          <w:tcPr>
            <w:tcW w:w="104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r>
      <w:tr w:rsidR="008B516A" w:rsidRPr="005A09FF" w:rsidTr="00346997">
        <w:tc>
          <w:tcPr>
            <w:tcW w:w="4631" w:type="dxa"/>
            <w:gridSpan w:val="2"/>
          </w:tcPr>
          <w:p w:rsidR="00682D39" w:rsidRPr="002F62A5" w:rsidRDefault="00682D39" w:rsidP="00386657">
            <w:pPr>
              <w:spacing w:line="276" w:lineRule="auto"/>
              <w:rPr>
                <w:rFonts w:ascii="Trebuchet MS" w:hAnsi="Trebuchet MS" w:cs="Arial"/>
                <w:snapToGrid w:val="0"/>
                <w:sz w:val="22"/>
                <w:szCs w:val="22"/>
                <w:lang w:val="ro-RO"/>
              </w:rPr>
            </w:pPr>
            <w:r w:rsidRPr="002F62A5">
              <w:rPr>
                <w:rFonts w:ascii="Trebuchet MS" w:hAnsi="Trebuchet MS" w:cs="Arial"/>
                <w:snapToGrid w:val="0"/>
                <w:sz w:val="22"/>
                <w:szCs w:val="22"/>
                <w:lang w:val="ro-RO"/>
              </w:rPr>
              <w:t>a) buget de stat, din acesta:</w:t>
            </w:r>
          </w:p>
        </w:tc>
        <w:tc>
          <w:tcPr>
            <w:tcW w:w="104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r>
      <w:tr w:rsidR="008B516A" w:rsidRPr="002F62A5" w:rsidTr="00346997">
        <w:tc>
          <w:tcPr>
            <w:tcW w:w="4631" w:type="dxa"/>
            <w:gridSpan w:val="2"/>
          </w:tcPr>
          <w:p w:rsidR="00682D39" w:rsidRPr="002F62A5" w:rsidRDefault="00682D39" w:rsidP="00386657">
            <w:pPr>
              <w:spacing w:line="276" w:lineRule="auto"/>
              <w:rPr>
                <w:rFonts w:ascii="Trebuchet MS" w:hAnsi="Trebuchet MS" w:cs="Arial"/>
                <w:snapToGrid w:val="0"/>
                <w:sz w:val="22"/>
                <w:szCs w:val="22"/>
                <w:lang w:val="ro-RO"/>
              </w:rPr>
            </w:pPr>
            <w:r w:rsidRPr="002F62A5">
              <w:rPr>
                <w:rFonts w:ascii="Trebuchet MS" w:hAnsi="Trebuchet MS" w:cs="Arial"/>
                <w:snapToGrid w:val="0"/>
                <w:sz w:val="22"/>
                <w:szCs w:val="22"/>
                <w:lang w:val="ro-RO"/>
              </w:rPr>
              <w:t>(i) cheltuieli de personal</w:t>
            </w:r>
          </w:p>
        </w:tc>
        <w:tc>
          <w:tcPr>
            <w:tcW w:w="104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r>
      <w:tr w:rsidR="008B516A" w:rsidRPr="002F62A5" w:rsidTr="00346997">
        <w:tc>
          <w:tcPr>
            <w:tcW w:w="4631" w:type="dxa"/>
            <w:gridSpan w:val="2"/>
          </w:tcPr>
          <w:p w:rsidR="00682D39" w:rsidRPr="002F62A5" w:rsidRDefault="00682D39" w:rsidP="00386657">
            <w:pPr>
              <w:spacing w:line="276" w:lineRule="auto"/>
              <w:rPr>
                <w:rFonts w:ascii="Trebuchet MS" w:hAnsi="Trebuchet MS" w:cs="Arial"/>
                <w:snapToGrid w:val="0"/>
                <w:sz w:val="22"/>
                <w:szCs w:val="22"/>
                <w:lang w:val="ro-RO"/>
              </w:rPr>
            </w:pPr>
            <w:r w:rsidRPr="002F62A5">
              <w:rPr>
                <w:rFonts w:ascii="Trebuchet MS" w:hAnsi="Trebuchet MS" w:cs="Arial"/>
                <w:snapToGrid w:val="0"/>
                <w:sz w:val="22"/>
                <w:szCs w:val="22"/>
                <w:lang w:val="ro-RO"/>
              </w:rPr>
              <w:t>(ii) bunuri şi servicii</w:t>
            </w:r>
          </w:p>
        </w:tc>
        <w:tc>
          <w:tcPr>
            <w:tcW w:w="104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r>
      <w:tr w:rsidR="008B516A" w:rsidRPr="002F62A5" w:rsidTr="00346997">
        <w:tc>
          <w:tcPr>
            <w:tcW w:w="4631" w:type="dxa"/>
            <w:gridSpan w:val="2"/>
          </w:tcPr>
          <w:p w:rsidR="00682D39" w:rsidRPr="002F62A5" w:rsidRDefault="00682D39" w:rsidP="00386657">
            <w:pPr>
              <w:spacing w:line="276" w:lineRule="auto"/>
              <w:rPr>
                <w:rFonts w:ascii="Trebuchet MS" w:hAnsi="Trebuchet MS" w:cs="Arial"/>
                <w:snapToGrid w:val="0"/>
                <w:sz w:val="22"/>
                <w:szCs w:val="22"/>
                <w:lang w:val="ro-RO"/>
              </w:rPr>
            </w:pPr>
            <w:r w:rsidRPr="002F62A5">
              <w:rPr>
                <w:rFonts w:ascii="Trebuchet MS" w:hAnsi="Trebuchet MS" w:cs="Arial"/>
                <w:snapToGrid w:val="0"/>
                <w:sz w:val="22"/>
                <w:szCs w:val="22"/>
                <w:lang w:val="ro-RO"/>
              </w:rPr>
              <w:t>b) bugete locale</w:t>
            </w:r>
          </w:p>
        </w:tc>
        <w:tc>
          <w:tcPr>
            <w:tcW w:w="104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r>
      <w:tr w:rsidR="008B516A" w:rsidRPr="002F62A5" w:rsidTr="00346997">
        <w:tc>
          <w:tcPr>
            <w:tcW w:w="4631" w:type="dxa"/>
            <w:gridSpan w:val="2"/>
          </w:tcPr>
          <w:p w:rsidR="00682D39" w:rsidRPr="002F62A5" w:rsidRDefault="00682D39" w:rsidP="00386657">
            <w:pPr>
              <w:spacing w:line="276" w:lineRule="auto"/>
              <w:rPr>
                <w:rFonts w:ascii="Trebuchet MS" w:hAnsi="Trebuchet MS" w:cs="Arial"/>
                <w:snapToGrid w:val="0"/>
                <w:sz w:val="22"/>
                <w:szCs w:val="22"/>
                <w:lang w:val="ro-RO"/>
              </w:rPr>
            </w:pPr>
            <w:r w:rsidRPr="002F62A5">
              <w:rPr>
                <w:rFonts w:ascii="Trebuchet MS" w:hAnsi="Trebuchet MS" w:cs="Arial"/>
                <w:snapToGrid w:val="0"/>
                <w:sz w:val="22"/>
                <w:szCs w:val="22"/>
                <w:lang w:val="ro-RO"/>
              </w:rPr>
              <w:t>(i) cheltuieli de personal</w:t>
            </w:r>
          </w:p>
        </w:tc>
        <w:tc>
          <w:tcPr>
            <w:tcW w:w="104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ind w:left="-32"/>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ind w:right="-108"/>
              <w:rPr>
                <w:rFonts w:ascii="Trebuchet MS" w:hAnsi="Trebuchet MS" w:cs="Arial"/>
                <w:sz w:val="22"/>
                <w:szCs w:val="22"/>
                <w:lang w:val="ro-RO"/>
              </w:rPr>
            </w:pPr>
          </w:p>
        </w:tc>
      </w:tr>
      <w:tr w:rsidR="008B516A" w:rsidRPr="002F62A5" w:rsidTr="00346997">
        <w:tc>
          <w:tcPr>
            <w:tcW w:w="4631" w:type="dxa"/>
            <w:gridSpan w:val="2"/>
          </w:tcPr>
          <w:p w:rsidR="00682D39" w:rsidRPr="002F62A5" w:rsidRDefault="00682D39" w:rsidP="00386657">
            <w:pPr>
              <w:spacing w:line="276" w:lineRule="auto"/>
              <w:rPr>
                <w:rFonts w:ascii="Trebuchet MS" w:hAnsi="Trebuchet MS" w:cs="Arial"/>
                <w:snapToGrid w:val="0"/>
                <w:sz w:val="22"/>
                <w:szCs w:val="22"/>
                <w:lang w:val="ro-RO"/>
              </w:rPr>
            </w:pPr>
            <w:r w:rsidRPr="002F62A5">
              <w:rPr>
                <w:rFonts w:ascii="Trebuchet MS" w:hAnsi="Trebuchet MS" w:cs="Arial"/>
                <w:snapToGrid w:val="0"/>
                <w:sz w:val="22"/>
                <w:szCs w:val="22"/>
                <w:lang w:val="ro-RO"/>
              </w:rPr>
              <w:t>(ii) bunuri şi servicii</w:t>
            </w:r>
          </w:p>
        </w:tc>
        <w:tc>
          <w:tcPr>
            <w:tcW w:w="104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r>
      <w:tr w:rsidR="008B516A" w:rsidRPr="005A09FF" w:rsidTr="00346997">
        <w:tc>
          <w:tcPr>
            <w:tcW w:w="4631" w:type="dxa"/>
            <w:gridSpan w:val="2"/>
          </w:tcPr>
          <w:p w:rsidR="00682D39" w:rsidRPr="002F62A5" w:rsidRDefault="00682D39" w:rsidP="00386657">
            <w:pPr>
              <w:spacing w:line="276" w:lineRule="auto"/>
              <w:rPr>
                <w:rFonts w:ascii="Trebuchet MS" w:hAnsi="Trebuchet MS" w:cs="Arial"/>
                <w:snapToGrid w:val="0"/>
                <w:sz w:val="22"/>
                <w:szCs w:val="22"/>
                <w:lang w:val="ro-RO"/>
              </w:rPr>
            </w:pPr>
            <w:r w:rsidRPr="002F62A5">
              <w:rPr>
                <w:rFonts w:ascii="Trebuchet MS" w:hAnsi="Trebuchet MS" w:cs="Arial"/>
                <w:snapToGrid w:val="0"/>
                <w:sz w:val="22"/>
                <w:szCs w:val="22"/>
                <w:lang w:val="ro-RO"/>
              </w:rPr>
              <w:t>c) bugetul asigurărilor sociale de stat:</w:t>
            </w:r>
          </w:p>
        </w:tc>
        <w:tc>
          <w:tcPr>
            <w:tcW w:w="104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r>
      <w:tr w:rsidR="008B516A" w:rsidRPr="002F62A5" w:rsidTr="00346997">
        <w:tc>
          <w:tcPr>
            <w:tcW w:w="4631" w:type="dxa"/>
            <w:gridSpan w:val="2"/>
          </w:tcPr>
          <w:p w:rsidR="00682D39" w:rsidRPr="002F62A5" w:rsidRDefault="00682D39" w:rsidP="00386657">
            <w:pPr>
              <w:spacing w:line="276" w:lineRule="auto"/>
              <w:rPr>
                <w:rFonts w:ascii="Trebuchet MS" w:hAnsi="Trebuchet MS" w:cs="Arial"/>
                <w:snapToGrid w:val="0"/>
                <w:sz w:val="22"/>
                <w:szCs w:val="22"/>
                <w:lang w:val="ro-RO"/>
              </w:rPr>
            </w:pPr>
            <w:r w:rsidRPr="002F62A5">
              <w:rPr>
                <w:rFonts w:ascii="Trebuchet MS" w:hAnsi="Trebuchet MS" w:cs="Arial"/>
                <w:snapToGrid w:val="0"/>
                <w:sz w:val="22"/>
                <w:szCs w:val="22"/>
                <w:lang w:val="ro-RO"/>
              </w:rPr>
              <w:t>(i) cheltuieli de personal</w:t>
            </w:r>
          </w:p>
        </w:tc>
        <w:tc>
          <w:tcPr>
            <w:tcW w:w="104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r>
      <w:tr w:rsidR="008B516A" w:rsidRPr="002F62A5" w:rsidTr="00346997">
        <w:tc>
          <w:tcPr>
            <w:tcW w:w="4631" w:type="dxa"/>
            <w:gridSpan w:val="2"/>
          </w:tcPr>
          <w:p w:rsidR="00682D39" w:rsidRPr="002F62A5" w:rsidRDefault="00682D39" w:rsidP="00386657">
            <w:pPr>
              <w:spacing w:line="276" w:lineRule="auto"/>
              <w:rPr>
                <w:rFonts w:ascii="Trebuchet MS" w:hAnsi="Trebuchet MS" w:cs="Arial"/>
                <w:snapToGrid w:val="0"/>
                <w:sz w:val="22"/>
                <w:szCs w:val="22"/>
                <w:lang w:val="ro-RO"/>
              </w:rPr>
            </w:pPr>
            <w:r w:rsidRPr="002F62A5">
              <w:rPr>
                <w:rFonts w:ascii="Trebuchet MS" w:hAnsi="Trebuchet MS" w:cs="Arial"/>
                <w:snapToGrid w:val="0"/>
                <w:sz w:val="22"/>
                <w:szCs w:val="22"/>
                <w:lang w:val="ro-RO"/>
              </w:rPr>
              <w:t>(ii) bunuri şi servicii</w:t>
            </w:r>
          </w:p>
        </w:tc>
        <w:tc>
          <w:tcPr>
            <w:tcW w:w="104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r>
      <w:tr w:rsidR="008B516A" w:rsidRPr="002F62A5" w:rsidTr="00346997">
        <w:tc>
          <w:tcPr>
            <w:tcW w:w="4631" w:type="dxa"/>
            <w:gridSpan w:val="2"/>
          </w:tcPr>
          <w:p w:rsidR="00682D39" w:rsidRPr="002F62A5" w:rsidRDefault="00682D39" w:rsidP="00386657">
            <w:pPr>
              <w:spacing w:line="276" w:lineRule="auto"/>
              <w:rPr>
                <w:rFonts w:ascii="Trebuchet MS" w:hAnsi="Trebuchet MS" w:cs="Arial"/>
                <w:snapToGrid w:val="0"/>
                <w:sz w:val="22"/>
                <w:szCs w:val="22"/>
                <w:lang w:val="ro-RO"/>
              </w:rPr>
            </w:pPr>
            <w:r w:rsidRPr="002F62A5">
              <w:rPr>
                <w:rFonts w:ascii="Trebuchet MS" w:hAnsi="Trebuchet MS" w:cs="Arial"/>
                <w:snapToGrid w:val="0"/>
                <w:sz w:val="22"/>
                <w:szCs w:val="22"/>
                <w:lang w:val="ro-RO"/>
              </w:rPr>
              <w:t>3. Impact financiar, plus/minus, din care:</w:t>
            </w:r>
          </w:p>
        </w:tc>
        <w:tc>
          <w:tcPr>
            <w:tcW w:w="104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r>
      <w:tr w:rsidR="008B516A" w:rsidRPr="002F62A5" w:rsidTr="00346997">
        <w:tc>
          <w:tcPr>
            <w:tcW w:w="4631" w:type="dxa"/>
            <w:gridSpan w:val="2"/>
          </w:tcPr>
          <w:p w:rsidR="00682D39" w:rsidRPr="002F62A5" w:rsidRDefault="00682D39" w:rsidP="00386657">
            <w:pPr>
              <w:spacing w:line="276" w:lineRule="auto"/>
              <w:rPr>
                <w:rFonts w:ascii="Trebuchet MS" w:hAnsi="Trebuchet MS" w:cs="Arial"/>
                <w:snapToGrid w:val="0"/>
                <w:sz w:val="22"/>
                <w:szCs w:val="22"/>
                <w:lang w:val="ro-RO"/>
              </w:rPr>
            </w:pPr>
            <w:r w:rsidRPr="002F62A5">
              <w:rPr>
                <w:rFonts w:ascii="Trebuchet MS" w:hAnsi="Trebuchet MS" w:cs="Arial"/>
                <w:snapToGrid w:val="0"/>
                <w:sz w:val="22"/>
                <w:szCs w:val="22"/>
                <w:lang w:val="ro-RO"/>
              </w:rPr>
              <w:t>a) buget de stat</w:t>
            </w:r>
          </w:p>
        </w:tc>
        <w:tc>
          <w:tcPr>
            <w:tcW w:w="104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r>
      <w:tr w:rsidR="008B516A" w:rsidRPr="002F62A5" w:rsidTr="00346997">
        <w:tc>
          <w:tcPr>
            <w:tcW w:w="4631" w:type="dxa"/>
            <w:gridSpan w:val="2"/>
          </w:tcPr>
          <w:p w:rsidR="00682D39" w:rsidRPr="002F62A5" w:rsidRDefault="00682D39" w:rsidP="00386657">
            <w:pPr>
              <w:spacing w:line="276" w:lineRule="auto"/>
              <w:rPr>
                <w:rFonts w:ascii="Trebuchet MS" w:hAnsi="Trebuchet MS" w:cs="Arial"/>
                <w:snapToGrid w:val="0"/>
                <w:sz w:val="22"/>
                <w:szCs w:val="22"/>
                <w:lang w:val="ro-RO"/>
              </w:rPr>
            </w:pPr>
            <w:r w:rsidRPr="002F62A5">
              <w:rPr>
                <w:rFonts w:ascii="Trebuchet MS" w:hAnsi="Trebuchet MS" w:cs="Arial"/>
                <w:snapToGrid w:val="0"/>
                <w:sz w:val="22"/>
                <w:szCs w:val="22"/>
                <w:lang w:val="ro-RO"/>
              </w:rPr>
              <w:t>(i) cheltuieli de personal</w:t>
            </w:r>
          </w:p>
        </w:tc>
        <w:tc>
          <w:tcPr>
            <w:tcW w:w="104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2F62A5" w:rsidRDefault="00682D39" w:rsidP="00386657">
            <w:pPr>
              <w:spacing w:line="276" w:lineRule="auto"/>
              <w:jc w:val="center"/>
              <w:rPr>
                <w:rFonts w:ascii="Trebuchet MS" w:hAnsi="Trebuchet MS" w:cs="Arial"/>
                <w:sz w:val="22"/>
                <w:szCs w:val="22"/>
                <w:lang w:val="ro-RO"/>
              </w:rPr>
            </w:pPr>
          </w:p>
        </w:tc>
      </w:tr>
      <w:tr w:rsidR="008B516A" w:rsidRPr="002F62A5" w:rsidTr="00346997">
        <w:tc>
          <w:tcPr>
            <w:tcW w:w="4631" w:type="dxa"/>
            <w:gridSpan w:val="2"/>
          </w:tcPr>
          <w:p w:rsidR="00682D39" w:rsidRPr="002F62A5" w:rsidRDefault="00682D39" w:rsidP="00386657">
            <w:pPr>
              <w:spacing w:line="276" w:lineRule="auto"/>
              <w:rPr>
                <w:rFonts w:ascii="Trebuchet MS" w:hAnsi="Trebuchet MS" w:cs="Arial"/>
                <w:snapToGrid w:val="0"/>
                <w:sz w:val="22"/>
                <w:szCs w:val="22"/>
                <w:lang w:val="ro-RO"/>
              </w:rPr>
            </w:pPr>
            <w:r w:rsidRPr="002F62A5">
              <w:rPr>
                <w:rFonts w:ascii="Trebuchet MS" w:hAnsi="Trebuchet MS" w:cs="Arial"/>
                <w:snapToGrid w:val="0"/>
                <w:sz w:val="22"/>
                <w:szCs w:val="22"/>
                <w:lang w:val="ro-RO"/>
              </w:rPr>
              <w:t>b) bugetele locale</w:t>
            </w:r>
          </w:p>
        </w:tc>
        <w:tc>
          <w:tcPr>
            <w:tcW w:w="104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208"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r>
      <w:tr w:rsidR="008B516A" w:rsidRPr="002F62A5" w:rsidTr="00346997">
        <w:tc>
          <w:tcPr>
            <w:tcW w:w="4631" w:type="dxa"/>
            <w:gridSpan w:val="2"/>
          </w:tcPr>
          <w:p w:rsidR="00682D39" w:rsidRPr="002F62A5" w:rsidRDefault="00682D39" w:rsidP="00386657">
            <w:pPr>
              <w:spacing w:line="276" w:lineRule="auto"/>
              <w:rPr>
                <w:rFonts w:ascii="Trebuchet MS" w:hAnsi="Trebuchet MS" w:cs="Arial"/>
                <w:snapToGrid w:val="0"/>
                <w:sz w:val="22"/>
                <w:szCs w:val="22"/>
                <w:lang w:val="ro-RO"/>
              </w:rPr>
            </w:pPr>
            <w:r w:rsidRPr="002F62A5">
              <w:rPr>
                <w:rFonts w:ascii="Trebuchet MS" w:hAnsi="Trebuchet MS" w:cs="Arial"/>
                <w:snapToGrid w:val="0"/>
                <w:sz w:val="22"/>
                <w:szCs w:val="22"/>
                <w:lang w:val="ro-RO"/>
              </w:rPr>
              <w:t>4. Propuneri pentru acoperirea creşterii cheltuielilor bugetare</w:t>
            </w:r>
          </w:p>
        </w:tc>
        <w:tc>
          <w:tcPr>
            <w:tcW w:w="6568" w:type="dxa"/>
            <w:gridSpan w:val="6"/>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r>
      <w:tr w:rsidR="008B516A" w:rsidRPr="002F62A5" w:rsidTr="00346997">
        <w:tc>
          <w:tcPr>
            <w:tcW w:w="4631" w:type="dxa"/>
            <w:gridSpan w:val="2"/>
          </w:tcPr>
          <w:p w:rsidR="00682D39" w:rsidRPr="002F62A5" w:rsidRDefault="00682D39" w:rsidP="00386657">
            <w:pPr>
              <w:spacing w:line="276" w:lineRule="auto"/>
              <w:rPr>
                <w:rFonts w:ascii="Trebuchet MS" w:hAnsi="Trebuchet MS" w:cs="Arial"/>
                <w:snapToGrid w:val="0"/>
                <w:sz w:val="22"/>
                <w:szCs w:val="22"/>
                <w:lang w:val="ro-RO"/>
              </w:rPr>
            </w:pPr>
            <w:r w:rsidRPr="002F62A5">
              <w:rPr>
                <w:rFonts w:ascii="Trebuchet MS" w:hAnsi="Trebuchet MS" w:cs="Arial"/>
                <w:snapToGrid w:val="0"/>
                <w:sz w:val="22"/>
                <w:szCs w:val="22"/>
                <w:lang w:val="ro-RO"/>
              </w:rPr>
              <w:t>5. Propuneri pentru a compensa reducerea veniturilor bugetare</w:t>
            </w:r>
          </w:p>
        </w:tc>
        <w:tc>
          <w:tcPr>
            <w:tcW w:w="104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080"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c>
          <w:tcPr>
            <w:tcW w:w="1208" w:type="dxa"/>
            <w:shd w:val="clear" w:color="auto" w:fill="auto"/>
          </w:tcPr>
          <w:p w:rsidR="00682D39" w:rsidRPr="002F62A5" w:rsidRDefault="00682D39" w:rsidP="00386657">
            <w:pPr>
              <w:spacing w:line="276" w:lineRule="auto"/>
              <w:jc w:val="center"/>
              <w:rPr>
                <w:rFonts w:ascii="Trebuchet MS" w:hAnsi="Trebuchet MS" w:cs="Arial"/>
                <w:sz w:val="22"/>
                <w:szCs w:val="22"/>
                <w:lang w:val="ro-RO"/>
              </w:rPr>
            </w:pPr>
          </w:p>
        </w:tc>
      </w:tr>
      <w:tr w:rsidR="008B516A" w:rsidRPr="002F62A5" w:rsidTr="00346997">
        <w:tc>
          <w:tcPr>
            <w:tcW w:w="4631" w:type="dxa"/>
            <w:gridSpan w:val="2"/>
          </w:tcPr>
          <w:p w:rsidR="00682D39" w:rsidRPr="002F62A5" w:rsidRDefault="00682D39" w:rsidP="00386657">
            <w:pPr>
              <w:spacing w:line="276" w:lineRule="auto"/>
              <w:rPr>
                <w:rFonts w:ascii="Trebuchet MS" w:hAnsi="Trebuchet MS" w:cs="Arial"/>
                <w:snapToGrid w:val="0"/>
                <w:sz w:val="22"/>
                <w:szCs w:val="22"/>
                <w:lang w:val="ro-RO"/>
              </w:rPr>
            </w:pPr>
            <w:r w:rsidRPr="002F62A5">
              <w:rPr>
                <w:rFonts w:ascii="Trebuchet MS" w:hAnsi="Trebuchet MS" w:cs="Arial"/>
                <w:snapToGrid w:val="0"/>
                <w:sz w:val="22"/>
                <w:szCs w:val="22"/>
                <w:lang w:val="ro-RO"/>
              </w:rPr>
              <w:t>6. Calcule detaliate privind fundamentarea modificărilor veniturilor şi/sau cheltuielilor bugetare</w:t>
            </w:r>
          </w:p>
        </w:tc>
        <w:tc>
          <w:tcPr>
            <w:tcW w:w="6568" w:type="dxa"/>
            <w:gridSpan w:val="6"/>
            <w:shd w:val="clear" w:color="auto" w:fill="auto"/>
          </w:tcPr>
          <w:p w:rsidR="00682D39" w:rsidRPr="002F62A5" w:rsidRDefault="00682D39" w:rsidP="00386657">
            <w:pPr>
              <w:pStyle w:val="ListParagraph"/>
              <w:spacing w:after="0" w:afterAutospacing="0" w:line="276" w:lineRule="auto"/>
              <w:ind w:left="0"/>
              <w:jc w:val="both"/>
              <w:rPr>
                <w:rFonts w:ascii="Trebuchet MS" w:hAnsi="Trebuchet MS" w:cs="Arial"/>
                <w:lang w:val="ro-RO"/>
              </w:rPr>
            </w:pPr>
          </w:p>
        </w:tc>
      </w:tr>
      <w:tr w:rsidR="008B516A" w:rsidRPr="005A09FF" w:rsidTr="00346997">
        <w:tc>
          <w:tcPr>
            <w:tcW w:w="4631" w:type="dxa"/>
            <w:gridSpan w:val="2"/>
          </w:tcPr>
          <w:p w:rsidR="00682D39" w:rsidRPr="002F62A5" w:rsidRDefault="00682D39" w:rsidP="00386657">
            <w:pPr>
              <w:spacing w:line="276" w:lineRule="auto"/>
              <w:rPr>
                <w:rFonts w:ascii="Trebuchet MS" w:hAnsi="Trebuchet MS" w:cs="Arial"/>
                <w:snapToGrid w:val="0"/>
                <w:sz w:val="22"/>
                <w:szCs w:val="22"/>
                <w:lang w:val="ro-RO"/>
              </w:rPr>
            </w:pPr>
            <w:r w:rsidRPr="002F62A5">
              <w:rPr>
                <w:rFonts w:ascii="Trebuchet MS" w:hAnsi="Trebuchet MS" w:cs="Arial"/>
                <w:snapToGrid w:val="0"/>
                <w:sz w:val="22"/>
                <w:szCs w:val="22"/>
                <w:lang w:val="ro-RO"/>
              </w:rPr>
              <w:t>7 Alte informații</w:t>
            </w:r>
          </w:p>
        </w:tc>
        <w:tc>
          <w:tcPr>
            <w:tcW w:w="6568" w:type="dxa"/>
            <w:gridSpan w:val="6"/>
            <w:shd w:val="clear" w:color="auto" w:fill="auto"/>
          </w:tcPr>
          <w:p w:rsidR="00682D39" w:rsidRPr="002F62A5" w:rsidRDefault="00E8287A" w:rsidP="00386657">
            <w:pPr>
              <w:spacing w:line="276" w:lineRule="auto"/>
              <w:jc w:val="both"/>
              <w:rPr>
                <w:rFonts w:ascii="Trebuchet MS" w:hAnsi="Trebuchet MS" w:cs="Arial"/>
                <w:bCs/>
                <w:sz w:val="22"/>
                <w:szCs w:val="22"/>
                <w:lang w:val="ro-RO"/>
              </w:rPr>
            </w:pPr>
            <w:r w:rsidRPr="002F62A5">
              <w:rPr>
                <w:rFonts w:ascii="Trebuchet MS" w:hAnsi="Trebuchet MS" w:cs="Arial"/>
                <w:bCs/>
                <w:sz w:val="22"/>
                <w:szCs w:val="22"/>
                <w:lang w:val="ro-RO"/>
              </w:rPr>
              <w:t xml:space="preserve">Eventualele </w:t>
            </w:r>
            <w:r w:rsidR="005832B3" w:rsidRPr="002F62A5">
              <w:rPr>
                <w:rFonts w:ascii="Trebuchet MS" w:hAnsi="Trebuchet MS" w:cs="Arial"/>
                <w:bCs/>
                <w:sz w:val="22"/>
                <w:szCs w:val="22"/>
                <w:lang w:val="ro-RO"/>
              </w:rPr>
              <w:t>cheltuieli bugetare</w:t>
            </w:r>
            <w:r w:rsidRPr="002F62A5">
              <w:rPr>
                <w:rFonts w:ascii="Trebuchet MS" w:hAnsi="Trebuchet MS" w:cs="Arial"/>
                <w:bCs/>
                <w:sz w:val="22"/>
                <w:szCs w:val="22"/>
                <w:lang w:val="ro-RO"/>
              </w:rPr>
              <w:t xml:space="preserve"> suplimentare legate de punerea în aplicare a dispozițiilor din cadrul proiectului vor fi acoperite în limita bugetului existent. </w:t>
            </w:r>
          </w:p>
        </w:tc>
      </w:tr>
      <w:tr w:rsidR="008B516A" w:rsidRPr="002F62A5" w:rsidTr="00346997">
        <w:tc>
          <w:tcPr>
            <w:tcW w:w="11199" w:type="dxa"/>
            <w:gridSpan w:val="8"/>
          </w:tcPr>
          <w:p w:rsidR="00682D39" w:rsidRPr="002F62A5" w:rsidRDefault="00682D39" w:rsidP="00386657">
            <w:pPr>
              <w:spacing w:line="276" w:lineRule="auto"/>
              <w:jc w:val="both"/>
              <w:rPr>
                <w:rFonts w:ascii="Trebuchet MS" w:hAnsi="Trebuchet MS" w:cs="Arial"/>
                <w:b/>
                <w:snapToGrid w:val="0"/>
                <w:sz w:val="22"/>
                <w:szCs w:val="22"/>
                <w:lang w:val="ro-RO"/>
              </w:rPr>
            </w:pPr>
            <w:r w:rsidRPr="002F62A5">
              <w:rPr>
                <w:rFonts w:ascii="Trebuchet MS" w:hAnsi="Trebuchet MS" w:cs="Arial"/>
                <w:b/>
                <w:snapToGrid w:val="0"/>
                <w:sz w:val="22"/>
                <w:szCs w:val="22"/>
                <w:lang w:val="ro-RO"/>
              </w:rPr>
              <w:t>Secţiunea a 5 –a – Efectele proiectului de act normativ asupra legislaţiei în vigoare</w:t>
            </w:r>
          </w:p>
        </w:tc>
      </w:tr>
      <w:tr w:rsidR="008B516A" w:rsidRPr="002F62A5" w:rsidTr="00346997">
        <w:tc>
          <w:tcPr>
            <w:tcW w:w="3970" w:type="dxa"/>
          </w:tcPr>
          <w:p w:rsidR="00682D39" w:rsidRPr="002F62A5" w:rsidRDefault="00682D39" w:rsidP="00386657">
            <w:pPr>
              <w:spacing w:line="276" w:lineRule="auto"/>
              <w:jc w:val="both"/>
              <w:rPr>
                <w:rFonts w:ascii="Trebuchet MS" w:hAnsi="Trebuchet MS" w:cs="Arial"/>
                <w:sz w:val="22"/>
                <w:szCs w:val="22"/>
                <w:lang w:val="ro-RO"/>
              </w:rPr>
            </w:pPr>
            <w:r w:rsidRPr="002F62A5">
              <w:rPr>
                <w:rFonts w:ascii="Trebuchet MS" w:hAnsi="Trebuchet MS" w:cs="Arial"/>
                <w:snapToGrid w:val="0"/>
                <w:sz w:val="22"/>
                <w:szCs w:val="22"/>
                <w:lang w:val="ro-RO"/>
              </w:rPr>
              <w:t xml:space="preserve">1. </w:t>
            </w:r>
            <w:r w:rsidRPr="002F62A5">
              <w:rPr>
                <w:rFonts w:ascii="Trebuchet MS" w:hAnsi="Trebuchet MS" w:cs="Arial"/>
                <w:sz w:val="22"/>
                <w:szCs w:val="22"/>
                <w:lang w:val="ro-RO"/>
              </w:rPr>
              <w:t xml:space="preserve">Măsuri normative necesare pentru   aplicarea prevederilor  proiectului de act normativ:                                            </w:t>
            </w:r>
          </w:p>
          <w:p w:rsidR="00682D39" w:rsidRPr="002F62A5" w:rsidRDefault="00682D39" w:rsidP="00386657">
            <w:pPr>
              <w:spacing w:line="276" w:lineRule="auto"/>
              <w:jc w:val="both"/>
              <w:rPr>
                <w:rFonts w:ascii="Trebuchet MS" w:hAnsi="Trebuchet MS" w:cs="Arial"/>
                <w:sz w:val="22"/>
                <w:szCs w:val="22"/>
                <w:lang w:val="ro-RO"/>
              </w:rPr>
            </w:pPr>
            <w:r w:rsidRPr="002F62A5">
              <w:rPr>
                <w:rFonts w:ascii="Trebuchet MS" w:hAnsi="Trebuchet MS" w:cs="Arial"/>
                <w:sz w:val="22"/>
                <w:szCs w:val="22"/>
                <w:lang w:val="ro-RO"/>
              </w:rPr>
              <w:t xml:space="preserve">a) acte normative în vigoare ce vor    fi modificate sau abrogate, ca   urmare a intrării în vigoare a       proiectului de act normativ;    </w:t>
            </w:r>
          </w:p>
          <w:p w:rsidR="00682D39" w:rsidRPr="002F62A5" w:rsidRDefault="00682D39" w:rsidP="00386657">
            <w:pPr>
              <w:spacing w:line="276" w:lineRule="auto"/>
              <w:jc w:val="both"/>
              <w:rPr>
                <w:rFonts w:ascii="Trebuchet MS" w:hAnsi="Trebuchet MS" w:cs="Arial"/>
                <w:snapToGrid w:val="0"/>
                <w:sz w:val="22"/>
                <w:szCs w:val="22"/>
                <w:lang w:val="ro-RO"/>
              </w:rPr>
            </w:pPr>
            <w:r w:rsidRPr="002F62A5">
              <w:rPr>
                <w:rFonts w:ascii="Trebuchet MS" w:hAnsi="Trebuchet MS" w:cs="Arial"/>
                <w:sz w:val="22"/>
                <w:szCs w:val="22"/>
                <w:lang w:val="ro-RO"/>
              </w:rPr>
              <w:lastRenderedPageBreak/>
              <w:t>b) acte normative ce urmează a fi elaborate în implementării noilor dispoziţii.</w:t>
            </w:r>
          </w:p>
        </w:tc>
        <w:tc>
          <w:tcPr>
            <w:tcW w:w="7229" w:type="dxa"/>
            <w:gridSpan w:val="7"/>
          </w:tcPr>
          <w:p w:rsidR="00682D39" w:rsidRPr="002F62A5" w:rsidRDefault="00682D39" w:rsidP="00386657">
            <w:pPr>
              <w:spacing w:line="276" w:lineRule="auto"/>
              <w:jc w:val="both"/>
              <w:rPr>
                <w:rFonts w:ascii="Trebuchet MS" w:hAnsi="Trebuchet MS" w:cs="Arial"/>
                <w:snapToGrid w:val="0"/>
                <w:sz w:val="22"/>
                <w:szCs w:val="22"/>
                <w:lang w:val="ro-RO"/>
              </w:rPr>
            </w:pPr>
            <w:r w:rsidRPr="002F62A5">
              <w:rPr>
                <w:rFonts w:ascii="Trebuchet MS" w:hAnsi="Trebuchet MS" w:cs="Arial"/>
                <w:snapToGrid w:val="0"/>
                <w:sz w:val="22"/>
                <w:szCs w:val="22"/>
                <w:lang w:val="ro-RO"/>
              </w:rPr>
              <w:lastRenderedPageBreak/>
              <w:t xml:space="preserve">Nu este cazul. </w:t>
            </w:r>
          </w:p>
        </w:tc>
      </w:tr>
      <w:tr w:rsidR="008B516A" w:rsidRPr="002F62A5" w:rsidTr="00346997">
        <w:tc>
          <w:tcPr>
            <w:tcW w:w="3970" w:type="dxa"/>
          </w:tcPr>
          <w:p w:rsidR="00682D39" w:rsidRPr="002F62A5" w:rsidRDefault="00682D39" w:rsidP="00386657">
            <w:pPr>
              <w:spacing w:line="276" w:lineRule="auto"/>
              <w:jc w:val="both"/>
              <w:rPr>
                <w:rFonts w:ascii="Trebuchet MS" w:hAnsi="Trebuchet MS" w:cs="Arial"/>
                <w:snapToGrid w:val="0"/>
                <w:sz w:val="22"/>
                <w:szCs w:val="22"/>
                <w:lang w:val="ro-RO"/>
              </w:rPr>
            </w:pPr>
            <w:r w:rsidRPr="002F62A5">
              <w:rPr>
                <w:rFonts w:ascii="Trebuchet MS" w:hAnsi="Trebuchet MS" w:cs="Arial"/>
                <w:snapToGrid w:val="0"/>
                <w:sz w:val="22"/>
                <w:szCs w:val="22"/>
                <w:lang w:val="ro-RO"/>
              </w:rPr>
              <w:t>1</w:t>
            </w:r>
            <w:r w:rsidRPr="002F62A5">
              <w:rPr>
                <w:rFonts w:ascii="Trebuchet MS" w:hAnsi="Trebuchet MS" w:cs="Arial"/>
                <w:snapToGrid w:val="0"/>
                <w:sz w:val="22"/>
                <w:szCs w:val="22"/>
                <w:vertAlign w:val="superscript"/>
                <w:lang w:val="ro-RO"/>
              </w:rPr>
              <w:t>1</w:t>
            </w:r>
            <w:r w:rsidRPr="002F62A5">
              <w:rPr>
                <w:rFonts w:ascii="Trebuchet MS" w:hAnsi="Trebuchet MS" w:cs="Arial"/>
                <w:snapToGrid w:val="0"/>
                <w:sz w:val="22"/>
                <w:szCs w:val="22"/>
                <w:lang w:val="ro-RO"/>
              </w:rPr>
              <w:t>. Compatibilitatea proiectului de act normativ cu legislația în domeniul achizițiilor publice</w:t>
            </w:r>
          </w:p>
        </w:tc>
        <w:tc>
          <w:tcPr>
            <w:tcW w:w="7229" w:type="dxa"/>
            <w:gridSpan w:val="7"/>
          </w:tcPr>
          <w:p w:rsidR="00682D39" w:rsidRPr="002F62A5" w:rsidRDefault="00682D39" w:rsidP="00386657">
            <w:pPr>
              <w:spacing w:line="276" w:lineRule="auto"/>
              <w:jc w:val="both"/>
              <w:rPr>
                <w:rFonts w:ascii="Trebuchet MS" w:hAnsi="Trebuchet MS" w:cs="Arial"/>
                <w:snapToGrid w:val="0"/>
                <w:sz w:val="22"/>
                <w:szCs w:val="22"/>
                <w:lang w:val="ro-RO"/>
              </w:rPr>
            </w:pPr>
            <w:r w:rsidRPr="002F62A5">
              <w:rPr>
                <w:rFonts w:ascii="Trebuchet MS" w:hAnsi="Trebuchet MS" w:cs="Arial"/>
                <w:snapToGrid w:val="0"/>
                <w:sz w:val="22"/>
                <w:szCs w:val="22"/>
                <w:lang w:val="ro-RO"/>
              </w:rPr>
              <w:t>Nu este cazul</w:t>
            </w:r>
          </w:p>
        </w:tc>
      </w:tr>
      <w:tr w:rsidR="008B516A" w:rsidRPr="005A09FF" w:rsidTr="00346997">
        <w:trPr>
          <w:trHeight w:val="330"/>
        </w:trPr>
        <w:tc>
          <w:tcPr>
            <w:tcW w:w="3970" w:type="dxa"/>
          </w:tcPr>
          <w:p w:rsidR="00682D39" w:rsidRPr="002F62A5" w:rsidRDefault="00682D39" w:rsidP="00386657">
            <w:pPr>
              <w:autoSpaceDE w:val="0"/>
              <w:autoSpaceDN w:val="0"/>
              <w:adjustRightInd w:val="0"/>
              <w:spacing w:line="276" w:lineRule="auto"/>
              <w:jc w:val="both"/>
              <w:rPr>
                <w:rFonts w:ascii="Trebuchet MS" w:hAnsi="Trebuchet MS" w:cs="Arial"/>
                <w:snapToGrid w:val="0"/>
                <w:sz w:val="22"/>
                <w:szCs w:val="22"/>
                <w:lang w:val="ro-RO"/>
              </w:rPr>
            </w:pPr>
            <w:r w:rsidRPr="002F62A5">
              <w:rPr>
                <w:rFonts w:ascii="Trebuchet MS" w:hAnsi="Trebuchet MS" w:cs="Arial"/>
                <w:snapToGrid w:val="0"/>
                <w:sz w:val="22"/>
                <w:szCs w:val="22"/>
                <w:lang w:val="ro-RO"/>
              </w:rPr>
              <w:t xml:space="preserve">2. </w:t>
            </w:r>
            <w:r w:rsidRPr="002F62A5">
              <w:rPr>
                <w:rFonts w:ascii="Trebuchet MS" w:hAnsi="Trebuchet MS" w:cs="Arial"/>
                <w:iCs/>
                <w:sz w:val="22"/>
                <w:szCs w:val="22"/>
                <w:lang w:val="ro-RO"/>
              </w:rPr>
              <w:t>Conformitatea proiectului de act normativ cu legislaţia comunitară în cazul proiectelor ce transpun prevederi comunitare</w:t>
            </w:r>
          </w:p>
        </w:tc>
        <w:tc>
          <w:tcPr>
            <w:tcW w:w="7229" w:type="dxa"/>
            <w:gridSpan w:val="7"/>
          </w:tcPr>
          <w:p w:rsidR="00682D39" w:rsidRPr="002F62A5" w:rsidRDefault="00682D39" w:rsidP="00386657">
            <w:pPr>
              <w:spacing w:line="276" w:lineRule="auto"/>
              <w:jc w:val="both"/>
              <w:rPr>
                <w:rFonts w:ascii="Trebuchet MS" w:hAnsi="Trebuchet MS" w:cs="Arial"/>
                <w:snapToGrid w:val="0"/>
                <w:sz w:val="22"/>
                <w:szCs w:val="22"/>
                <w:lang w:val="ro-RO"/>
              </w:rPr>
            </w:pPr>
            <w:r w:rsidRPr="002F62A5">
              <w:rPr>
                <w:rFonts w:ascii="Trebuchet MS" w:hAnsi="Trebuchet MS" w:cs="Arial"/>
                <w:snapToGrid w:val="0"/>
                <w:sz w:val="22"/>
                <w:szCs w:val="22"/>
                <w:lang w:val="ro-RO"/>
              </w:rPr>
              <w:t>Nu au fost identificate documente în legislaţia comunitară în domeniu.</w:t>
            </w:r>
          </w:p>
        </w:tc>
      </w:tr>
      <w:tr w:rsidR="008B516A" w:rsidRPr="002F62A5" w:rsidTr="00346997">
        <w:trPr>
          <w:trHeight w:val="328"/>
        </w:trPr>
        <w:tc>
          <w:tcPr>
            <w:tcW w:w="3970" w:type="dxa"/>
          </w:tcPr>
          <w:p w:rsidR="00682D39" w:rsidRPr="002F62A5" w:rsidRDefault="00682D39" w:rsidP="00386657">
            <w:pPr>
              <w:autoSpaceDE w:val="0"/>
              <w:autoSpaceDN w:val="0"/>
              <w:adjustRightInd w:val="0"/>
              <w:spacing w:line="276" w:lineRule="auto"/>
              <w:rPr>
                <w:rFonts w:ascii="Trebuchet MS" w:hAnsi="Trebuchet MS" w:cs="Arial"/>
                <w:snapToGrid w:val="0"/>
                <w:sz w:val="22"/>
                <w:szCs w:val="22"/>
                <w:lang w:val="ro-RO"/>
              </w:rPr>
            </w:pPr>
            <w:r w:rsidRPr="002F62A5">
              <w:rPr>
                <w:rFonts w:ascii="Trebuchet MS" w:hAnsi="Trebuchet MS" w:cs="Arial"/>
                <w:iCs/>
                <w:sz w:val="22"/>
                <w:szCs w:val="22"/>
                <w:lang w:val="ro-RO"/>
              </w:rPr>
              <w:t>3. Măsuri normative necesare aplicării directe a actelor  normative comunitare</w:t>
            </w:r>
          </w:p>
        </w:tc>
        <w:tc>
          <w:tcPr>
            <w:tcW w:w="7229" w:type="dxa"/>
            <w:gridSpan w:val="7"/>
          </w:tcPr>
          <w:p w:rsidR="00682D39" w:rsidRPr="002F62A5" w:rsidRDefault="00682D39" w:rsidP="00386657">
            <w:pPr>
              <w:spacing w:line="276" w:lineRule="auto"/>
              <w:jc w:val="both"/>
              <w:rPr>
                <w:rFonts w:ascii="Trebuchet MS" w:hAnsi="Trebuchet MS" w:cs="Arial"/>
                <w:snapToGrid w:val="0"/>
                <w:sz w:val="22"/>
                <w:szCs w:val="22"/>
                <w:lang w:val="ro-RO"/>
              </w:rPr>
            </w:pPr>
            <w:r w:rsidRPr="002F62A5">
              <w:rPr>
                <w:rFonts w:ascii="Trebuchet MS" w:hAnsi="Trebuchet MS" w:cs="Arial"/>
                <w:snapToGrid w:val="0"/>
                <w:sz w:val="22"/>
                <w:szCs w:val="22"/>
                <w:lang w:val="ro-RO"/>
              </w:rPr>
              <w:t xml:space="preserve">Nu este cazul. </w:t>
            </w:r>
          </w:p>
        </w:tc>
      </w:tr>
      <w:tr w:rsidR="008B516A" w:rsidRPr="002F62A5" w:rsidTr="00346997">
        <w:trPr>
          <w:trHeight w:val="328"/>
        </w:trPr>
        <w:tc>
          <w:tcPr>
            <w:tcW w:w="3970" w:type="dxa"/>
          </w:tcPr>
          <w:p w:rsidR="00682D39" w:rsidRPr="002F62A5" w:rsidRDefault="00682D39" w:rsidP="00386657">
            <w:pPr>
              <w:spacing w:line="276" w:lineRule="auto"/>
              <w:jc w:val="both"/>
              <w:rPr>
                <w:rFonts w:ascii="Trebuchet MS" w:hAnsi="Trebuchet MS" w:cs="Arial"/>
                <w:snapToGrid w:val="0"/>
                <w:sz w:val="22"/>
                <w:szCs w:val="22"/>
                <w:lang w:val="ro-RO"/>
              </w:rPr>
            </w:pPr>
            <w:r w:rsidRPr="002F62A5">
              <w:rPr>
                <w:rFonts w:ascii="Trebuchet MS" w:hAnsi="Trebuchet MS" w:cs="Arial"/>
                <w:snapToGrid w:val="0"/>
                <w:sz w:val="22"/>
                <w:szCs w:val="22"/>
                <w:lang w:val="ro-RO"/>
              </w:rPr>
              <w:t>4. Hotărâri ale Curții de Justiție a Uniunii Europene</w:t>
            </w:r>
          </w:p>
        </w:tc>
        <w:tc>
          <w:tcPr>
            <w:tcW w:w="7229" w:type="dxa"/>
            <w:gridSpan w:val="7"/>
          </w:tcPr>
          <w:p w:rsidR="00682D39" w:rsidRPr="002F62A5" w:rsidRDefault="00682D39" w:rsidP="00386657">
            <w:pPr>
              <w:spacing w:line="276" w:lineRule="auto"/>
              <w:jc w:val="both"/>
              <w:rPr>
                <w:rFonts w:ascii="Trebuchet MS" w:hAnsi="Trebuchet MS" w:cs="Arial"/>
                <w:sz w:val="22"/>
                <w:szCs w:val="22"/>
                <w:lang w:val="ro-RO"/>
              </w:rPr>
            </w:pPr>
            <w:r w:rsidRPr="002F62A5">
              <w:rPr>
                <w:rFonts w:ascii="Trebuchet MS" w:hAnsi="Trebuchet MS" w:cs="Arial"/>
                <w:sz w:val="22"/>
                <w:szCs w:val="22"/>
                <w:lang w:val="ro-RO"/>
              </w:rPr>
              <w:t xml:space="preserve">Nu este cazul. </w:t>
            </w:r>
          </w:p>
        </w:tc>
      </w:tr>
      <w:tr w:rsidR="008B516A" w:rsidRPr="002F62A5" w:rsidTr="00346997">
        <w:trPr>
          <w:trHeight w:val="328"/>
        </w:trPr>
        <w:tc>
          <w:tcPr>
            <w:tcW w:w="3970" w:type="dxa"/>
          </w:tcPr>
          <w:p w:rsidR="00682D39" w:rsidRPr="002F62A5" w:rsidRDefault="00682D39" w:rsidP="00386657">
            <w:pPr>
              <w:spacing w:line="276" w:lineRule="auto"/>
              <w:jc w:val="both"/>
              <w:rPr>
                <w:rFonts w:ascii="Trebuchet MS" w:hAnsi="Trebuchet MS" w:cs="Arial"/>
                <w:snapToGrid w:val="0"/>
                <w:sz w:val="22"/>
                <w:szCs w:val="22"/>
                <w:lang w:val="ro-RO"/>
              </w:rPr>
            </w:pPr>
            <w:r w:rsidRPr="002F62A5">
              <w:rPr>
                <w:rFonts w:ascii="Trebuchet MS" w:hAnsi="Trebuchet MS" w:cs="Arial"/>
                <w:snapToGrid w:val="0"/>
                <w:sz w:val="22"/>
                <w:szCs w:val="22"/>
                <w:lang w:val="ro-RO"/>
              </w:rPr>
              <w:t>5. Alte acte normative și/sau documente internaționale dn care decurg angajamente</w:t>
            </w:r>
          </w:p>
        </w:tc>
        <w:tc>
          <w:tcPr>
            <w:tcW w:w="7229" w:type="dxa"/>
            <w:gridSpan w:val="7"/>
          </w:tcPr>
          <w:p w:rsidR="00682D39" w:rsidRPr="002F62A5" w:rsidRDefault="00682D39" w:rsidP="00386657">
            <w:pPr>
              <w:spacing w:line="276" w:lineRule="auto"/>
              <w:jc w:val="both"/>
              <w:rPr>
                <w:rFonts w:ascii="Trebuchet MS" w:hAnsi="Trebuchet MS" w:cs="Arial"/>
                <w:sz w:val="22"/>
                <w:szCs w:val="22"/>
                <w:lang w:val="ro-RO"/>
              </w:rPr>
            </w:pPr>
            <w:r w:rsidRPr="002F62A5">
              <w:rPr>
                <w:rFonts w:ascii="Trebuchet MS" w:hAnsi="Trebuchet MS" w:cs="Arial"/>
                <w:sz w:val="22"/>
                <w:szCs w:val="22"/>
                <w:lang w:val="ro-RO"/>
              </w:rPr>
              <w:t>Nu este cazul.</w:t>
            </w:r>
          </w:p>
          <w:p w:rsidR="00682D39" w:rsidRPr="002F62A5" w:rsidRDefault="00682D39" w:rsidP="00386657">
            <w:pPr>
              <w:spacing w:line="276" w:lineRule="auto"/>
              <w:jc w:val="both"/>
              <w:rPr>
                <w:rFonts w:ascii="Trebuchet MS" w:hAnsi="Trebuchet MS" w:cs="Arial"/>
                <w:sz w:val="22"/>
                <w:szCs w:val="22"/>
                <w:lang w:val="ro-RO"/>
              </w:rPr>
            </w:pPr>
          </w:p>
        </w:tc>
      </w:tr>
      <w:tr w:rsidR="008B516A" w:rsidRPr="002F62A5" w:rsidTr="00346997">
        <w:trPr>
          <w:trHeight w:val="328"/>
        </w:trPr>
        <w:tc>
          <w:tcPr>
            <w:tcW w:w="3970" w:type="dxa"/>
          </w:tcPr>
          <w:p w:rsidR="00682D39" w:rsidRPr="002F62A5" w:rsidRDefault="00682D39" w:rsidP="00386657">
            <w:pPr>
              <w:spacing w:line="276" w:lineRule="auto"/>
              <w:jc w:val="both"/>
              <w:rPr>
                <w:rFonts w:ascii="Trebuchet MS" w:hAnsi="Trebuchet MS" w:cs="Arial"/>
                <w:snapToGrid w:val="0"/>
                <w:sz w:val="22"/>
                <w:szCs w:val="22"/>
                <w:lang w:val="ro-RO"/>
              </w:rPr>
            </w:pPr>
            <w:r w:rsidRPr="002F62A5">
              <w:rPr>
                <w:rFonts w:ascii="Trebuchet MS" w:hAnsi="Trebuchet MS" w:cs="Arial"/>
                <w:snapToGrid w:val="0"/>
                <w:sz w:val="22"/>
                <w:szCs w:val="22"/>
                <w:lang w:val="ro-RO"/>
              </w:rPr>
              <w:t xml:space="preserve">6. Alte informații. </w:t>
            </w:r>
          </w:p>
        </w:tc>
        <w:tc>
          <w:tcPr>
            <w:tcW w:w="7229" w:type="dxa"/>
            <w:gridSpan w:val="7"/>
          </w:tcPr>
          <w:p w:rsidR="00682D39" w:rsidRPr="002F62A5" w:rsidRDefault="00682D39" w:rsidP="00386657">
            <w:pPr>
              <w:spacing w:line="276" w:lineRule="auto"/>
              <w:jc w:val="both"/>
              <w:rPr>
                <w:rFonts w:ascii="Trebuchet MS" w:hAnsi="Trebuchet MS" w:cs="Arial"/>
                <w:sz w:val="22"/>
                <w:szCs w:val="22"/>
                <w:lang w:val="ro-RO"/>
              </w:rPr>
            </w:pPr>
            <w:r w:rsidRPr="002F62A5">
              <w:rPr>
                <w:rFonts w:ascii="Trebuchet MS" w:hAnsi="Trebuchet MS" w:cs="Arial"/>
                <w:sz w:val="22"/>
                <w:szCs w:val="22"/>
                <w:lang w:val="ro-RO"/>
              </w:rPr>
              <w:t xml:space="preserve">Nu este cazul. </w:t>
            </w:r>
          </w:p>
        </w:tc>
      </w:tr>
      <w:tr w:rsidR="008B516A" w:rsidRPr="002F62A5" w:rsidTr="00346997">
        <w:trPr>
          <w:trHeight w:val="328"/>
        </w:trPr>
        <w:tc>
          <w:tcPr>
            <w:tcW w:w="11199" w:type="dxa"/>
            <w:gridSpan w:val="8"/>
          </w:tcPr>
          <w:p w:rsidR="00682D39" w:rsidRPr="002F62A5" w:rsidRDefault="00682D39" w:rsidP="00386657">
            <w:pPr>
              <w:spacing w:line="276" w:lineRule="auto"/>
              <w:jc w:val="both"/>
              <w:rPr>
                <w:rFonts w:ascii="Trebuchet MS" w:hAnsi="Trebuchet MS" w:cs="Arial"/>
                <w:b/>
                <w:snapToGrid w:val="0"/>
                <w:sz w:val="22"/>
                <w:szCs w:val="22"/>
                <w:lang w:val="ro-RO"/>
              </w:rPr>
            </w:pPr>
            <w:r w:rsidRPr="002F62A5">
              <w:rPr>
                <w:rFonts w:ascii="Trebuchet MS" w:hAnsi="Trebuchet MS" w:cs="Arial"/>
                <w:b/>
                <w:snapToGrid w:val="0"/>
                <w:sz w:val="22"/>
                <w:szCs w:val="22"/>
                <w:lang w:val="ro-RO"/>
              </w:rPr>
              <w:t>Secţiunea a 6-a – Consultările efectuate în vederea elaborării proiectului de act normativ</w:t>
            </w:r>
          </w:p>
        </w:tc>
      </w:tr>
      <w:tr w:rsidR="008B516A" w:rsidRPr="002F62A5" w:rsidTr="00346997">
        <w:trPr>
          <w:trHeight w:val="340"/>
        </w:trPr>
        <w:tc>
          <w:tcPr>
            <w:tcW w:w="3970" w:type="dxa"/>
          </w:tcPr>
          <w:p w:rsidR="00682D39" w:rsidRPr="002F62A5" w:rsidRDefault="00682D39" w:rsidP="00386657">
            <w:pPr>
              <w:spacing w:line="276" w:lineRule="auto"/>
              <w:jc w:val="both"/>
              <w:rPr>
                <w:rFonts w:ascii="Trebuchet MS" w:hAnsi="Trebuchet MS" w:cs="Arial"/>
                <w:snapToGrid w:val="0"/>
                <w:sz w:val="22"/>
                <w:szCs w:val="22"/>
                <w:lang w:val="ro-RO"/>
              </w:rPr>
            </w:pPr>
            <w:r w:rsidRPr="002F62A5">
              <w:rPr>
                <w:rFonts w:ascii="Trebuchet MS" w:hAnsi="Trebuchet MS" w:cs="Arial"/>
                <w:sz w:val="22"/>
                <w:szCs w:val="22"/>
                <w:lang w:val="ro-RO"/>
              </w:rPr>
              <w:t>1. Informaţii privind procesul de consultare cu organizaţii neguvernamentale, institute de  cercetare şi alte organisme     implicate</w:t>
            </w:r>
          </w:p>
        </w:tc>
        <w:tc>
          <w:tcPr>
            <w:tcW w:w="7229" w:type="dxa"/>
            <w:gridSpan w:val="7"/>
          </w:tcPr>
          <w:p w:rsidR="00682D39" w:rsidRPr="002F62A5" w:rsidRDefault="00682D39" w:rsidP="00386657">
            <w:pPr>
              <w:spacing w:line="276" w:lineRule="auto"/>
              <w:jc w:val="both"/>
              <w:rPr>
                <w:rFonts w:ascii="Trebuchet MS" w:hAnsi="Trebuchet MS" w:cs="Arial"/>
                <w:snapToGrid w:val="0"/>
                <w:sz w:val="22"/>
                <w:szCs w:val="22"/>
                <w:lang w:val="ro-RO"/>
              </w:rPr>
            </w:pPr>
            <w:r w:rsidRPr="002F62A5">
              <w:rPr>
                <w:rFonts w:ascii="Trebuchet MS" w:hAnsi="Trebuchet MS" w:cs="Arial"/>
                <w:snapToGrid w:val="0"/>
                <w:sz w:val="22"/>
                <w:szCs w:val="22"/>
                <w:lang w:val="ro-RO"/>
              </w:rPr>
              <w:t xml:space="preserve">Nu este cazul </w:t>
            </w:r>
          </w:p>
        </w:tc>
      </w:tr>
      <w:tr w:rsidR="008B516A" w:rsidRPr="002F62A5" w:rsidTr="00346997">
        <w:trPr>
          <w:trHeight w:val="338"/>
        </w:trPr>
        <w:tc>
          <w:tcPr>
            <w:tcW w:w="3970" w:type="dxa"/>
          </w:tcPr>
          <w:p w:rsidR="00682D39" w:rsidRPr="002F62A5" w:rsidRDefault="00682D39" w:rsidP="00386657">
            <w:pPr>
              <w:spacing w:line="276" w:lineRule="auto"/>
              <w:jc w:val="both"/>
              <w:rPr>
                <w:rFonts w:ascii="Trebuchet MS" w:hAnsi="Trebuchet MS" w:cs="Arial"/>
                <w:snapToGrid w:val="0"/>
                <w:sz w:val="22"/>
                <w:szCs w:val="22"/>
                <w:lang w:val="ro-RO"/>
              </w:rPr>
            </w:pPr>
            <w:r w:rsidRPr="002F62A5">
              <w:rPr>
                <w:rFonts w:ascii="Trebuchet MS" w:hAnsi="Trebuchet MS" w:cs="Arial"/>
                <w:snapToGrid w:val="0"/>
                <w:sz w:val="22"/>
                <w:szCs w:val="22"/>
                <w:lang w:val="ro-RO"/>
              </w:rPr>
              <w:t>2. Fundamentarea alegerii organizaţiilor cu care a avut loc consultarea, precum şi a modului în care activitatea acestor organizaţii este legată de obiectul proiectului de act normativ</w:t>
            </w:r>
          </w:p>
        </w:tc>
        <w:tc>
          <w:tcPr>
            <w:tcW w:w="7229" w:type="dxa"/>
            <w:gridSpan w:val="7"/>
          </w:tcPr>
          <w:p w:rsidR="00682D39" w:rsidRPr="002F62A5" w:rsidRDefault="00682D39" w:rsidP="00386657">
            <w:pPr>
              <w:spacing w:line="276" w:lineRule="auto"/>
              <w:jc w:val="both"/>
              <w:rPr>
                <w:rFonts w:ascii="Trebuchet MS" w:hAnsi="Trebuchet MS" w:cs="Arial"/>
                <w:snapToGrid w:val="0"/>
                <w:sz w:val="22"/>
                <w:szCs w:val="22"/>
                <w:lang w:val="ro-RO"/>
              </w:rPr>
            </w:pPr>
            <w:r w:rsidRPr="002F62A5">
              <w:rPr>
                <w:rFonts w:ascii="Trebuchet MS" w:hAnsi="Trebuchet MS" w:cs="Arial"/>
                <w:snapToGrid w:val="0"/>
                <w:sz w:val="22"/>
                <w:szCs w:val="22"/>
                <w:lang w:val="ro-RO"/>
              </w:rPr>
              <w:t xml:space="preserve">Nu este cazul </w:t>
            </w:r>
          </w:p>
        </w:tc>
      </w:tr>
      <w:tr w:rsidR="008B516A" w:rsidRPr="002F62A5" w:rsidTr="00346997">
        <w:trPr>
          <w:trHeight w:val="338"/>
        </w:trPr>
        <w:tc>
          <w:tcPr>
            <w:tcW w:w="3970" w:type="dxa"/>
          </w:tcPr>
          <w:p w:rsidR="00682D39" w:rsidRPr="002F62A5" w:rsidRDefault="00682D39" w:rsidP="00386657">
            <w:pPr>
              <w:spacing w:line="276" w:lineRule="auto"/>
              <w:jc w:val="both"/>
              <w:rPr>
                <w:rFonts w:ascii="Trebuchet MS" w:hAnsi="Trebuchet MS" w:cs="Arial"/>
                <w:snapToGrid w:val="0"/>
                <w:sz w:val="22"/>
                <w:szCs w:val="22"/>
                <w:lang w:val="ro-RO"/>
              </w:rPr>
            </w:pPr>
            <w:r w:rsidRPr="002F62A5">
              <w:rPr>
                <w:rFonts w:ascii="Trebuchet MS" w:hAnsi="Trebuchet MS" w:cs="Arial"/>
                <w:snapToGrid w:val="0"/>
                <w:sz w:val="22"/>
                <w:szCs w:val="22"/>
                <w:lang w:val="ro-RO"/>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7229" w:type="dxa"/>
            <w:gridSpan w:val="7"/>
          </w:tcPr>
          <w:p w:rsidR="00682D39" w:rsidRPr="002F62A5" w:rsidRDefault="00682D39" w:rsidP="00386657">
            <w:pPr>
              <w:spacing w:line="276" w:lineRule="auto"/>
              <w:jc w:val="both"/>
              <w:rPr>
                <w:rFonts w:ascii="Trebuchet MS" w:hAnsi="Trebuchet MS" w:cs="Arial"/>
                <w:snapToGrid w:val="0"/>
                <w:sz w:val="22"/>
                <w:szCs w:val="22"/>
                <w:lang w:val="ro-RO"/>
              </w:rPr>
            </w:pPr>
            <w:r w:rsidRPr="002F62A5">
              <w:rPr>
                <w:rFonts w:ascii="Trebuchet MS" w:hAnsi="Trebuchet MS" w:cs="Arial"/>
                <w:snapToGrid w:val="0"/>
                <w:sz w:val="22"/>
                <w:szCs w:val="22"/>
                <w:lang w:val="ro-RO"/>
              </w:rPr>
              <w:t>Nu este cazul</w:t>
            </w:r>
          </w:p>
        </w:tc>
      </w:tr>
      <w:tr w:rsidR="008B516A" w:rsidRPr="002F62A5" w:rsidTr="00346997">
        <w:trPr>
          <w:trHeight w:val="338"/>
        </w:trPr>
        <w:tc>
          <w:tcPr>
            <w:tcW w:w="3970" w:type="dxa"/>
          </w:tcPr>
          <w:p w:rsidR="00682D39" w:rsidRPr="002F62A5" w:rsidRDefault="00682D39" w:rsidP="00386657">
            <w:pPr>
              <w:autoSpaceDE w:val="0"/>
              <w:autoSpaceDN w:val="0"/>
              <w:adjustRightInd w:val="0"/>
              <w:spacing w:line="276" w:lineRule="auto"/>
              <w:jc w:val="both"/>
              <w:rPr>
                <w:rFonts w:ascii="Trebuchet MS" w:hAnsi="Trebuchet MS" w:cs="Arial"/>
                <w:snapToGrid w:val="0"/>
                <w:sz w:val="22"/>
                <w:szCs w:val="22"/>
                <w:lang w:val="ro-RO"/>
              </w:rPr>
            </w:pPr>
            <w:r w:rsidRPr="002F62A5">
              <w:rPr>
                <w:rFonts w:ascii="Trebuchet MS" w:hAnsi="Trebuchet MS" w:cs="Arial"/>
                <w:snapToGrid w:val="0"/>
                <w:sz w:val="22"/>
                <w:szCs w:val="22"/>
                <w:lang w:val="ro-RO"/>
              </w:rPr>
              <w:t xml:space="preserve">4. </w:t>
            </w:r>
            <w:r w:rsidRPr="002F62A5">
              <w:rPr>
                <w:rFonts w:ascii="Trebuchet MS" w:hAnsi="Trebuchet MS" w:cs="Arial"/>
                <w:sz w:val="22"/>
                <w:szCs w:val="22"/>
                <w:lang w:val="ro-RO"/>
              </w:rPr>
              <w:t xml:space="preserve">Consultările desfăşurate în cadrul consiliilor interministeriale, în conformitate cu prevederile    </w:t>
            </w:r>
            <w:r w:rsidRPr="002F62A5">
              <w:rPr>
                <w:rFonts w:ascii="Trebuchet MS" w:hAnsi="Trebuchet MS" w:cs="Arial"/>
                <w:sz w:val="22"/>
                <w:szCs w:val="22"/>
                <w:lang w:val="ro-RO"/>
              </w:rPr>
              <w:lastRenderedPageBreak/>
              <w:t>Hotărârii Guvernului nr. 750/2005  privind constituirea consiliilor    interministeriale permanente</w:t>
            </w:r>
          </w:p>
        </w:tc>
        <w:tc>
          <w:tcPr>
            <w:tcW w:w="7229" w:type="dxa"/>
            <w:gridSpan w:val="7"/>
          </w:tcPr>
          <w:p w:rsidR="00682D39" w:rsidRPr="002F62A5" w:rsidRDefault="00682D39" w:rsidP="00386657">
            <w:pPr>
              <w:spacing w:line="276" w:lineRule="auto"/>
              <w:jc w:val="both"/>
              <w:rPr>
                <w:rFonts w:ascii="Trebuchet MS" w:hAnsi="Trebuchet MS" w:cs="Arial"/>
                <w:snapToGrid w:val="0"/>
                <w:sz w:val="22"/>
                <w:szCs w:val="22"/>
                <w:lang w:val="ro-RO"/>
              </w:rPr>
            </w:pPr>
            <w:r w:rsidRPr="002F62A5">
              <w:rPr>
                <w:rFonts w:ascii="Trebuchet MS" w:hAnsi="Trebuchet MS" w:cs="Arial"/>
                <w:snapToGrid w:val="0"/>
                <w:sz w:val="22"/>
                <w:szCs w:val="22"/>
                <w:lang w:val="ro-RO"/>
              </w:rPr>
              <w:lastRenderedPageBreak/>
              <w:t xml:space="preserve">Nu este cazul. </w:t>
            </w:r>
          </w:p>
        </w:tc>
      </w:tr>
      <w:tr w:rsidR="008B516A" w:rsidRPr="005A09FF" w:rsidTr="00346997">
        <w:trPr>
          <w:trHeight w:val="338"/>
        </w:trPr>
        <w:tc>
          <w:tcPr>
            <w:tcW w:w="3970" w:type="dxa"/>
          </w:tcPr>
          <w:p w:rsidR="00682D39" w:rsidRPr="002F62A5" w:rsidRDefault="00682D39" w:rsidP="00386657">
            <w:pPr>
              <w:spacing w:line="276" w:lineRule="auto"/>
              <w:jc w:val="both"/>
              <w:rPr>
                <w:rFonts w:ascii="Trebuchet MS" w:hAnsi="Trebuchet MS" w:cs="Arial"/>
                <w:snapToGrid w:val="0"/>
                <w:sz w:val="22"/>
                <w:szCs w:val="22"/>
                <w:lang w:val="ro-RO"/>
              </w:rPr>
            </w:pPr>
            <w:r w:rsidRPr="002F62A5">
              <w:rPr>
                <w:rFonts w:ascii="Trebuchet MS" w:hAnsi="Trebuchet MS" w:cs="Arial"/>
                <w:snapToGrid w:val="0"/>
                <w:sz w:val="22"/>
                <w:szCs w:val="22"/>
                <w:lang w:val="ro-RO"/>
              </w:rPr>
              <w:t>5. Informaţii privind avizarea de către:</w:t>
            </w:r>
          </w:p>
          <w:p w:rsidR="00682D39" w:rsidRPr="002F62A5" w:rsidRDefault="00682D39" w:rsidP="00386657">
            <w:pPr>
              <w:spacing w:line="276" w:lineRule="auto"/>
              <w:jc w:val="both"/>
              <w:rPr>
                <w:rFonts w:ascii="Trebuchet MS" w:hAnsi="Trebuchet MS" w:cs="Arial"/>
                <w:snapToGrid w:val="0"/>
                <w:sz w:val="22"/>
                <w:szCs w:val="22"/>
                <w:lang w:val="ro-RO"/>
              </w:rPr>
            </w:pPr>
            <w:r w:rsidRPr="002F62A5">
              <w:rPr>
                <w:rFonts w:ascii="Trebuchet MS" w:hAnsi="Trebuchet MS" w:cs="Arial"/>
                <w:snapToGrid w:val="0"/>
                <w:sz w:val="22"/>
                <w:szCs w:val="22"/>
                <w:lang w:val="ro-RO"/>
              </w:rPr>
              <w:t>a) Consiliul Legislativ</w:t>
            </w:r>
          </w:p>
          <w:p w:rsidR="00682D39" w:rsidRPr="002F62A5" w:rsidRDefault="00682D39" w:rsidP="00386657">
            <w:pPr>
              <w:spacing w:line="276" w:lineRule="auto"/>
              <w:jc w:val="both"/>
              <w:rPr>
                <w:rFonts w:ascii="Trebuchet MS" w:hAnsi="Trebuchet MS" w:cs="Arial"/>
                <w:snapToGrid w:val="0"/>
                <w:sz w:val="22"/>
                <w:szCs w:val="22"/>
                <w:lang w:val="ro-RO"/>
              </w:rPr>
            </w:pPr>
            <w:r w:rsidRPr="002F62A5">
              <w:rPr>
                <w:rFonts w:ascii="Trebuchet MS" w:hAnsi="Trebuchet MS" w:cs="Arial"/>
                <w:snapToGrid w:val="0"/>
                <w:sz w:val="22"/>
                <w:szCs w:val="22"/>
                <w:lang w:val="ro-RO"/>
              </w:rPr>
              <w:t>b) Consiliul Suprem de Apărare a Ţării</w:t>
            </w:r>
          </w:p>
          <w:p w:rsidR="00682D39" w:rsidRPr="002F62A5" w:rsidRDefault="00682D39" w:rsidP="00386657">
            <w:pPr>
              <w:spacing w:line="276" w:lineRule="auto"/>
              <w:jc w:val="both"/>
              <w:rPr>
                <w:rFonts w:ascii="Trebuchet MS" w:hAnsi="Trebuchet MS" w:cs="Arial"/>
                <w:snapToGrid w:val="0"/>
                <w:sz w:val="22"/>
                <w:szCs w:val="22"/>
                <w:lang w:val="ro-RO"/>
              </w:rPr>
            </w:pPr>
            <w:r w:rsidRPr="002F62A5">
              <w:rPr>
                <w:rFonts w:ascii="Trebuchet MS" w:hAnsi="Trebuchet MS" w:cs="Arial"/>
                <w:snapToGrid w:val="0"/>
                <w:sz w:val="22"/>
                <w:szCs w:val="22"/>
                <w:lang w:val="ro-RO"/>
              </w:rPr>
              <w:t>c) Consiliul Economic şi Social</w:t>
            </w:r>
          </w:p>
          <w:p w:rsidR="00682D39" w:rsidRPr="002F62A5" w:rsidRDefault="00682D39" w:rsidP="00386657">
            <w:pPr>
              <w:spacing w:line="276" w:lineRule="auto"/>
              <w:jc w:val="both"/>
              <w:rPr>
                <w:rFonts w:ascii="Trebuchet MS" w:hAnsi="Trebuchet MS" w:cs="Arial"/>
                <w:snapToGrid w:val="0"/>
                <w:sz w:val="22"/>
                <w:szCs w:val="22"/>
                <w:lang w:val="ro-RO"/>
              </w:rPr>
            </w:pPr>
            <w:r w:rsidRPr="002F62A5">
              <w:rPr>
                <w:rFonts w:ascii="Trebuchet MS" w:hAnsi="Trebuchet MS" w:cs="Arial"/>
                <w:snapToGrid w:val="0"/>
                <w:sz w:val="22"/>
                <w:szCs w:val="22"/>
                <w:lang w:val="ro-RO"/>
              </w:rPr>
              <w:t>d) Consiliul Concurenţei</w:t>
            </w:r>
          </w:p>
          <w:p w:rsidR="00682D39" w:rsidRPr="002F62A5" w:rsidRDefault="00682D39" w:rsidP="00386657">
            <w:pPr>
              <w:spacing w:line="276" w:lineRule="auto"/>
              <w:jc w:val="both"/>
              <w:rPr>
                <w:rFonts w:ascii="Trebuchet MS" w:hAnsi="Trebuchet MS" w:cs="Arial"/>
                <w:snapToGrid w:val="0"/>
                <w:sz w:val="22"/>
                <w:szCs w:val="22"/>
                <w:lang w:val="ro-RO"/>
              </w:rPr>
            </w:pPr>
            <w:r w:rsidRPr="002F62A5">
              <w:rPr>
                <w:rFonts w:ascii="Trebuchet MS" w:hAnsi="Trebuchet MS" w:cs="Arial"/>
                <w:snapToGrid w:val="0"/>
                <w:sz w:val="22"/>
                <w:szCs w:val="22"/>
                <w:lang w:val="ro-RO"/>
              </w:rPr>
              <w:t>e) Curtea de Conturi.</w:t>
            </w:r>
          </w:p>
        </w:tc>
        <w:tc>
          <w:tcPr>
            <w:tcW w:w="7229" w:type="dxa"/>
            <w:gridSpan w:val="7"/>
          </w:tcPr>
          <w:p w:rsidR="00682D39" w:rsidRPr="002F62A5" w:rsidRDefault="00682D39" w:rsidP="00386657">
            <w:pPr>
              <w:spacing w:line="276" w:lineRule="auto"/>
              <w:jc w:val="both"/>
              <w:rPr>
                <w:rFonts w:ascii="Trebuchet MS" w:hAnsi="Trebuchet MS" w:cs="Arial"/>
                <w:snapToGrid w:val="0"/>
                <w:sz w:val="22"/>
                <w:szCs w:val="22"/>
                <w:lang w:val="ro-RO"/>
              </w:rPr>
            </w:pPr>
          </w:p>
        </w:tc>
      </w:tr>
      <w:tr w:rsidR="008B516A" w:rsidRPr="002F62A5" w:rsidTr="00346997">
        <w:trPr>
          <w:trHeight w:val="328"/>
        </w:trPr>
        <w:tc>
          <w:tcPr>
            <w:tcW w:w="11199" w:type="dxa"/>
            <w:gridSpan w:val="8"/>
          </w:tcPr>
          <w:p w:rsidR="00682D39" w:rsidRPr="002F62A5" w:rsidRDefault="00682D39" w:rsidP="00386657">
            <w:pPr>
              <w:spacing w:line="276" w:lineRule="auto"/>
              <w:jc w:val="both"/>
              <w:rPr>
                <w:rFonts w:ascii="Trebuchet MS" w:hAnsi="Trebuchet MS" w:cs="Arial"/>
                <w:b/>
                <w:snapToGrid w:val="0"/>
                <w:sz w:val="22"/>
                <w:szCs w:val="22"/>
                <w:lang w:val="ro-RO"/>
              </w:rPr>
            </w:pPr>
            <w:r w:rsidRPr="002F62A5">
              <w:rPr>
                <w:rFonts w:ascii="Trebuchet MS" w:hAnsi="Trebuchet MS" w:cs="Arial"/>
                <w:b/>
                <w:snapToGrid w:val="0"/>
                <w:sz w:val="22"/>
                <w:szCs w:val="22"/>
                <w:lang w:val="ro-RO"/>
              </w:rPr>
              <w:t>Secţiunea a 7-a – Activităţi de informare publică privind elaborarea şi implementarea proiectului de act normativ</w:t>
            </w:r>
          </w:p>
        </w:tc>
      </w:tr>
      <w:tr w:rsidR="008B516A" w:rsidRPr="005A09FF" w:rsidTr="00346997">
        <w:trPr>
          <w:trHeight w:val="338"/>
        </w:trPr>
        <w:tc>
          <w:tcPr>
            <w:tcW w:w="3970" w:type="dxa"/>
          </w:tcPr>
          <w:p w:rsidR="00682D39" w:rsidRPr="002F62A5" w:rsidRDefault="00682D39" w:rsidP="00386657">
            <w:pPr>
              <w:spacing w:line="276" w:lineRule="auto"/>
              <w:jc w:val="both"/>
              <w:rPr>
                <w:rFonts w:ascii="Trebuchet MS" w:hAnsi="Trebuchet MS" w:cs="Arial"/>
                <w:snapToGrid w:val="0"/>
                <w:sz w:val="22"/>
                <w:szCs w:val="22"/>
                <w:lang w:val="ro-RO"/>
              </w:rPr>
            </w:pPr>
          </w:p>
          <w:p w:rsidR="00682D39" w:rsidRPr="002F62A5" w:rsidRDefault="00682D39" w:rsidP="00386657">
            <w:pPr>
              <w:spacing w:line="276" w:lineRule="auto"/>
              <w:jc w:val="both"/>
              <w:rPr>
                <w:rFonts w:ascii="Trebuchet MS" w:hAnsi="Trebuchet MS" w:cs="Arial"/>
                <w:snapToGrid w:val="0"/>
                <w:sz w:val="22"/>
                <w:szCs w:val="22"/>
                <w:lang w:val="ro-RO"/>
              </w:rPr>
            </w:pPr>
            <w:r w:rsidRPr="002F62A5">
              <w:rPr>
                <w:rFonts w:ascii="Trebuchet MS" w:hAnsi="Trebuchet MS" w:cs="Arial"/>
                <w:snapToGrid w:val="0"/>
                <w:sz w:val="22"/>
                <w:szCs w:val="22"/>
                <w:lang w:val="ro-RO"/>
              </w:rPr>
              <w:t>1. Informarea societăţii civile cu privire la necesitatea elaborării actului normativ</w:t>
            </w:r>
          </w:p>
        </w:tc>
        <w:tc>
          <w:tcPr>
            <w:tcW w:w="7229" w:type="dxa"/>
            <w:gridSpan w:val="7"/>
          </w:tcPr>
          <w:p w:rsidR="00682D39" w:rsidRPr="002F62A5" w:rsidRDefault="00682D39" w:rsidP="00386657">
            <w:pPr>
              <w:autoSpaceDE w:val="0"/>
              <w:autoSpaceDN w:val="0"/>
              <w:adjustRightInd w:val="0"/>
              <w:spacing w:line="276" w:lineRule="auto"/>
              <w:jc w:val="both"/>
              <w:rPr>
                <w:rFonts w:ascii="Trebuchet MS" w:hAnsi="Trebuchet MS" w:cs="Arial"/>
                <w:sz w:val="22"/>
                <w:szCs w:val="22"/>
                <w:lang w:val="ro-RO"/>
              </w:rPr>
            </w:pPr>
            <w:r w:rsidRPr="002F62A5">
              <w:rPr>
                <w:rFonts w:ascii="Trebuchet MS" w:hAnsi="Trebuchet MS" w:cs="Arial"/>
                <w:sz w:val="22"/>
                <w:szCs w:val="22"/>
                <w:lang w:val="ro-RO"/>
              </w:rPr>
              <w:t>Proiectul a fost afişat pe site-ul Ministerului Justiţiei</w:t>
            </w:r>
            <w:r w:rsidR="00157AF4" w:rsidRPr="002F62A5">
              <w:rPr>
                <w:rFonts w:ascii="Trebuchet MS" w:hAnsi="Trebuchet MS" w:cs="Arial"/>
                <w:sz w:val="22"/>
                <w:szCs w:val="22"/>
                <w:lang w:val="ro-RO"/>
              </w:rPr>
              <w:t xml:space="preserve"> în data de </w:t>
            </w:r>
          </w:p>
        </w:tc>
      </w:tr>
      <w:tr w:rsidR="008B516A" w:rsidRPr="005A09FF" w:rsidTr="00346997">
        <w:trPr>
          <w:trHeight w:val="336"/>
        </w:trPr>
        <w:tc>
          <w:tcPr>
            <w:tcW w:w="3970" w:type="dxa"/>
          </w:tcPr>
          <w:p w:rsidR="00682D39" w:rsidRPr="002F62A5" w:rsidRDefault="00682D39" w:rsidP="00386657">
            <w:pPr>
              <w:spacing w:line="276" w:lineRule="auto"/>
              <w:jc w:val="both"/>
              <w:rPr>
                <w:rFonts w:ascii="Trebuchet MS" w:hAnsi="Trebuchet MS" w:cs="Arial"/>
                <w:snapToGrid w:val="0"/>
                <w:sz w:val="22"/>
                <w:szCs w:val="22"/>
                <w:lang w:val="ro-RO"/>
              </w:rPr>
            </w:pPr>
          </w:p>
          <w:p w:rsidR="00682D39" w:rsidRPr="002F62A5" w:rsidRDefault="00682D39" w:rsidP="00386657">
            <w:pPr>
              <w:spacing w:line="276" w:lineRule="auto"/>
              <w:jc w:val="both"/>
              <w:rPr>
                <w:rFonts w:ascii="Trebuchet MS" w:hAnsi="Trebuchet MS" w:cs="Arial"/>
                <w:snapToGrid w:val="0"/>
                <w:sz w:val="22"/>
                <w:szCs w:val="22"/>
                <w:lang w:val="ro-RO"/>
              </w:rPr>
            </w:pPr>
            <w:r w:rsidRPr="002F62A5">
              <w:rPr>
                <w:rFonts w:ascii="Trebuchet MS" w:hAnsi="Trebuchet MS" w:cs="Arial"/>
                <w:snapToGrid w:val="0"/>
                <w:sz w:val="22"/>
                <w:szCs w:val="22"/>
                <w:lang w:val="ro-RO"/>
              </w:rPr>
              <w:t>2. Informarea societăţii civile cu privire la eventualul impact asupra mediului în urma implementării proiectului de act normativ, precum şi efectele asupra sănătăţii şi securităţii cetăţenilor sau diversităţii biologice</w:t>
            </w:r>
          </w:p>
        </w:tc>
        <w:tc>
          <w:tcPr>
            <w:tcW w:w="7229" w:type="dxa"/>
            <w:gridSpan w:val="7"/>
          </w:tcPr>
          <w:p w:rsidR="00682D39" w:rsidRPr="002F62A5" w:rsidRDefault="00682D39" w:rsidP="00386657">
            <w:pPr>
              <w:spacing w:line="276" w:lineRule="auto"/>
              <w:jc w:val="both"/>
              <w:rPr>
                <w:rFonts w:ascii="Trebuchet MS" w:hAnsi="Trebuchet MS" w:cs="Arial"/>
                <w:snapToGrid w:val="0"/>
                <w:sz w:val="22"/>
                <w:szCs w:val="22"/>
                <w:lang w:val="ro-RO"/>
              </w:rPr>
            </w:pPr>
          </w:p>
        </w:tc>
      </w:tr>
      <w:tr w:rsidR="008B516A" w:rsidRPr="002F62A5" w:rsidTr="00346997">
        <w:trPr>
          <w:trHeight w:val="336"/>
        </w:trPr>
        <w:tc>
          <w:tcPr>
            <w:tcW w:w="3970" w:type="dxa"/>
          </w:tcPr>
          <w:p w:rsidR="00682D39" w:rsidRPr="002F62A5" w:rsidRDefault="00682D39" w:rsidP="00386657">
            <w:pPr>
              <w:spacing w:line="276" w:lineRule="auto"/>
              <w:jc w:val="both"/>
              <w:rPr>
                <w:rFonts w:ascii="Trebuchet MS" w:hAnsi="Trebuchet MS" w:cs="Arial"/>
                <w:snapToGrid w:val="0"/>
                <w:sz w:val="22"/>
                <w:szCs w:val="22"/>
                <w:lang w:val="ro-RO"/>
              </w:rPr>
            </w:pPr>
            <w:r w:rsidRPr="002F62A5">
              <w:rPr>
                <w:rFonts w:ascii="Trebuchet MS" w:hAnsi="Trebuchet MS" w:cs="Arial"/>
                <w:snapToGrid w:val="0"/>
                <w:sz w:val="22"/>
                <w:szCs w:val="22"/>
                <w:lang w:val="ro-RO"/>
              </w:rPr>
              <w:t>3. Alte informații</w:t>
            </w:r>
          </w:p>
        </w:tc>
        <w:tc>
          <w:tcPr>
            <w:tcW w:w="7229" w:type="dxa"/>
            <w:gridSpan w:val="7"/>
          </w:tcPr>
          <w:p w:rsidR="00682D39" w:rsidRPr="002F62A5" w:rsidRDefault="00682D39" w:rsidP="00386657">
            <w:pPr>
              <w:spacing w:line="276" w:lineRule="auto"/>
              <w:jc w:val="both"/>
              <w:rPr>
                <w:rFonts w:ascii="Trebuchet MS" w:hAnsi="Trebuchet MS" w:cs="Arial"/>
                <w:snapToGrid w:val="0"/>
                <w:sz w:val="22"/>
                <w:szCs w:val="22"/>
                <w:lang w:val="ro-RO"/>
              </w:rPr>
            </w:pPr>
            <w:r w:rsidRPr="002F62A5">
              <w:rPr>
                <w:rFonts w:ascii="Trebuchet MS" w:hAnsi="Trebuchet MS" w:cs="Arial"/>
                <w:snapToGrid w:val="0"/>
                <w:sz w:val="22"/>
                <w:szCs w:val="22"/>
                <w:lang w:val="ro-RO"/>
              </w:rPr>
              <w:t>Nu este cazul</w:t>
            </w:r>
          </w:p>
        </w:tc>
      </w:tr>
      <w:tr w:rsidR="008B516A" w:rsidRPr="005A09FF" w:rsidTr="00346997">
        <w:trPr>
          <w:trHeight w:val="336"/>
        </w:trPr>
        <w:tc>
          <w:tcPr>
            <w:tcW w:w="11199" w:type="dxa"/>
            <w:gridSpan w:val="8"/>
          </w:tcPr>
          <w:p w:rsidR="00682D39" w:rsidRPr="002F62A5" w:rsidRDefault="00682D39" w:rsidP="00386657">
            <w:pPr>
              <w:spacing w:line="276" w:lineRule="auto"/>
              <w:jc w:val="both"/>
              <w:rPr>
                <w:rFonts w:ascii="Trebuchet MS" w:hAnsi="Trebuchet MS" w:cs="Arial"/>
                <w:b/>
                <w:snapToGrid w:val="0"/>
                <w:sz w:val="22"/>
                <w:szCs w:val="22"/>
                <w:lang w:val="ro-RO"/>
              </w:rPr>
            </w:pPr>
            <w:r w:rsidRPr="002F62A5">
              <w:rPr>
                <w:rFonts w:ascii="Trebuchet MS" w:hAnsi="Trebuchet MS" w:cs="Arial"/>
                <w:b/>
                <w:snapToGrid w:val="0"/>
                <w:sz w:val="22"/>
                <w:szCs w:val="22"/>
                <w:lang w:val="ro-RO"/>
              </w:rPr>
              <w:t>Secţiunea a 8-a - Măsuri de implementare</w:t>
            </w:r>
          </w:p>
        </w:tc>
      </w:tr>
      <w:tr w:rsidR="008B516A" w:rsidRPr="002F62A5" w:rsidTr="00346997">
        <w:trPr>
          <w:trHeight w:val="336"/>
        </w:trPr>
        <w:tc>
          <w:tcPr>
            <w:tcW w:w="3970" w:type="dxa"/>
          </w:tcPr>
          <w:p w:rsidR="00836C28" w:rsidRPr="002F62A5" w:rsidRDefault="00836C28" w:rsidP="00386657">
            <w:pPr>
              <w:spacing w:line="276" w:lineRule="auto"/>
              <w:jc w:val="both"/>
              <w:rPr>
                <w:rFonts w:ascii="Trebuchet MS" w:hAnsi="Trebuchet MS" w:cs="Arial"/>
                <w:snapToGrid w:val="0"/>
                <w:sz w:val="22"/>
                <w:szCs w:val="22"/>
                <w:lang w:val="ro-RO"/>
              </w:rPr>
            </w:pPr>
          </w:p>
          <w:p w:rsidR="00682D39" w:rsidRPr="002F62A5" w:rsidRDefault="00836C28" w:rsidP="00386657">
            <w:pPr>
              <w:spacing w:line="276" w:lineRule="auto"/>
              <w:jc w:val="both"/>
              <w:rPr>
                <w:rFonts w:ascii="Trebuchet MS" w:hAnsi="Trebuchet MS" w:cs="Arial"/>
                <w:snapToGrid w:val="0"/>
                <w:sz w:val="22"/>
                <w:szCs w:val="22"/>
                <w:lang w:val="ro-RO"/>
              </w:rPr>
            </w:pPr>
            <w:r w:rsidRPr="002F62A5">
              <w:rPr>
                <w:rFonts w:ascii="Trebuchet MS" w:hAnsi="Trebuchet MS" w:cs="Arial"/>
                <w:snapToGrid w:val="0"/>
                <w:sz w:val="22"/>
                <w:szCs w:val="22"/>
                <w:lang w:val="ro-RO"/>
              </w:rPr>
              <w:t xml:space="preserve">1. </w:t>
            </w:r>
            <w:r w:rsidR="00682D39" w:rsidRPr="002F62A5">
              <w:rPr>
                <w:rFonts w:ascii="Trebuchet MS" w:hAnsi="Trebuchet MS" w:cs="Arial"/>
                <w:snapToGrid w:val="0"/>
                <w:sz w:val="22"/>
                <w:szCs w:val="22"/>
                <w:lang w:val="ro-RO"/>
              </w:rPr>
              <w:t>Măsurile de punere î</w:t>
            </w:r>
            <w:r w:rsidRPr="002F62A5">
              <w:rPr>
                <w:rFonts w:ascii="Trebuchet MS" w:hAnsi="Trebuchet MS" w:cs="Arial"/>
                <w:snapToGrid w:val="0"/>
                <w:sz w:val="22"/>
                <w:szCs w:val="22"/>
                <w:lang w:val="ro-RO"/>
              </w:rPr>
              <w:t xml:space="preserve">n aplicare a proiectului de act </w:t>
            </w:r>
            <w:r w:rsidR="00682D39" w:rsidRPr="002F62A5">
              <w:rPr>
                <w:rFonts w:ascii="Trebuchet MS" w:hAnsi="Trebuchet MS" w:cs="Arial"/>
                <w:snapToGrid w:val="0"/>
                <w:sz w:val="22"/>
                <w:szCs w:val="22"/>
                <w:lang w:val="ro-RO"/>
              </w:rPr>
              <w:t>normativ de</w:t>
            </w:r>
            <w:r w:rsidRPr="002F62A5">
              <w:rPr>
                <w:rFonts w:ascii="Trebuchet MS" w:hAnsi="Trebuchet MS" w:cs="Arial"/>
                <w:snapToGrid w:val="0"/>
                <w:sz w:val="22"/>
                <w:szCs w:val="22"/>
                <w:lang w:val="ro-RO"/>
              </w:rPr>
              <w:t xml:space="preserve"> către</w:t>
            </w:r>
            <w:r w:rsidR="00682D39" w:rsidRPr="002F62A5">
              <w:rPr>
                <w:rFonts w:ascii="Trebuchet MS" w:hAnsi="Trebuchet MS" w:cs="Arial"/>
                <w:snapToGrid w:val="0"/>
                <w:sz w:val="22"/>
                <w:szCs w:val="22"/>
                <w:lang w:val="ro-RO"/>
              </w:rPr>
              <w:t xml:space="preserve"> autorităţile administraţiei publice centrale şi/sau locale – înfiinţarea unor noi organisme sau extinderea competenţelor instituţiilor existente</w:t>
            </w:r>
          </w:p>
        </w:tc>
        <w:tc>
          <w:tcPr>
            <w:tcW w:w="7229" w:type="dxa"/>
            <w:gridSpan w:val="7"/>
          </w:tcPr>
          <w:p w:rsidR="00682D39" w:rsidRPr="002F62A5" w:rsidRDefault="00682D39" w:rsidP="00386657">
            <w:pPr>
              <w:spacing w:line="276" w:lineRule="auto"/>
              <w:jc w:val="both"/>
              <w:rPr>
                <w:rFonts w:ascii="Trebuchet MS" w:hAnsi="Trebuchet MS" w:cs="Arial"/>
                <w:snapToGrid w:val="0"/>
                <w:sz w:val="22"/>
                <w:szCs w:val="22"/>
                <w:lang w:val="ro-RO"/>
              </w:rPr>
            </w:pPr>
            <w:r w:rsidRPr="002F62A5">
              <w:rPr>
                <w:rFonts w:ascii="Trebuchet MS" w:hAnsi="Trebuchet MS" w:cs="Arial"/>
                <w:snapToGrid w:val="0"/>
                <w:sz w:val="22"/>
                <w:szCs w:val="22"/>
                <w:lang w:val="ro-RO"/>
              </w:rPr>
              <w:t xml:space="preserve">Nu este cazul. </w:t>
            </w:r>
          </w:p>
        </w:tc>
      </w:tr>
      <w:tr w:rsidR="008B516A" w:rsidRPr="002F62A5" w:rsidTr="00346997">
        <w:trPr>
          <w:trHeight w:val="336"/>
        </w:trPr>
        <w:tc>
          <w:tcPr>
            <w:tcW w:w="3970" w:type="dxa"/>
          </w:tcPr>
          <w:p w:rsidR="00682D39" w:rsidRPr="002F62A5" w:rsidRDefault="00682D39" w:rsidP="00386657">
            <w:pPr>
              <w:spacing w:line="276" w:lineRule="auto"/>
              <w:jc w:val="both"/>
              <w:rPr>
                <w:rFonts w:ascii="Trebuchet MS" w:hAnsi="Trebuchet MS" w:cs="Arial"/>
                <w:snapToGrid w:val="0"/>
                <w:sz w:val="22"/>
                <w:szCs w:val="22"/>
                <w:lang w:val="ro-RO"/>
              </w:rPr>
            </w:pPr>
            <w:r w:rsidRPr="002F62A5">
              <w:rPr>
                <w:rFonts w:ascii="Trebuchet MS" w:hAnsi="Trebuchet MS" w:cs="Arial"/>
                <w:snapToGrid w:val="0"/>
                <w:sz w:val="22"/>
                <w:szCs w:val="22"/>
                <w:lang w:val="ro-RO"/>
              </w:rPr>
              <w:t>2. Alte informaţii</w:t>
            </w:r>
          </w:p>
        </w:tc>
        <w:tc>
          <w:tcPr>
            <w:tcW w:w="7229" w:type="dxa"/>
            <w:gridSpan w:val="7"/>
          </w:tcPr>
          <w:p w:rsidR="00682D39" w:rsidRPr="002F62A5" w:rsidRDefault="00682D39" w:rsidP="00386657">
            <w:pPr>
              <w:spacing w:line="276" w:lineRule="auto"/>
              <w:jc w:val="both"/>
              <w:rPr>
                <w:rFonts w:ascii="Trebuchet MS" w:hAnsi="Trebuchet MS" w:cs="Arial"/>
                <w:snapToGrid w:val="0"/>
                <w:sz w:val="22"/>
                <w:szCs w:val="22"/>
                <w:lang w:val="ro-RO"/>
              </w:rPr>
            </w:pPr>
            <w:r w:rsidRPr="002F62A5">
              <w:rPr>
                <w:rFonts w:ascii="Trebuchet MS" w:hAnsi="Trebuchet MS" w:cs="Arial"/>
                <w:snapToGrid w:val="0"/>
                <w:sz w:val="22"/>
                <w:szCs w:val="22"/>
                <w:lang w:val="ro-RO"/>
              </w:rPr>
              <w:t>Nu au fost identificate</w:t>
            </w:r>
          </w:p>
        </w:tc>
      </w:tr>
    </w:tbl>
    <w:p w:rsidR="00CD021F" w:rsidRPr="002F62A5" w:rsidRDefault="00CD021F" w:rsidP="00386657">
      <w:pPr>
        <w:spacing w:line="276" w:lineRule="auto"/>
        <w:ind w:left="-851" w:right="-660" w:firstLine="720"/>
        <w:jc w:val="both"/>
        <w:rPr>
          <w:rFonts w:ascii="Trebuchet MS" w:hAnsi="Trebuchet MS" w:cs="Arial"/>
          <w:snapToGrid w:val="0"/>
          <w:sz w:val="22"/>
          <w:szCs w:val="22"/>
          <w:lang w:val="ro-RO"/>
        </w:rPr>
      </w:pPr>
    </w:p>
    <w:p w:rsidR="00682D39" w:rsidRPr="002F62A5" w:rsidRDefault="00682D39" w:rsidP="00386657">
      <w:pPr>
        <w:spacing w:line="276" w:lineRule="auto"/>
        <w:ind w:left="-851" w:right="-660" w:firstLine="720"/>
        <w:jc w:val="both"/>
        <w:rPr>
          <w:rFonts w:ascii="Trebuchet MS" w:hAnsi="Trebuchet MS" w:cs="Arial"/>
          <w:sz w:val="22"/>
          <w:szCs w:val="22"/>
          <w:lang w:val="ro-RO"/>
        </w:rPr>
      </w:pPr>
      <w:r w:rsidRPr="002F62A5">
        <w:rPr>
          <w:rFonts w:ascii="Trebuchet MS" w:hAnsi="Trebuchet MS" w:cs="Arial"/>
          <w:snapToGrid w:val="0"/>
          <w:sz w:val="22"/>
          <w:szCs w:val="22"/>
          <w:lang w:val="ro-RO"/>
        </w:rPr>
        <w:t xml:space="preserve">Faţă de cele prezentate, a fost elaborat proiectul </w:t>
      </w:r>
      <w:r w:rsidR="002431F7" w:rsidRPr="002F62A5">
        <w:rPr>
          <w:rFonts w:ascii="Trebuchet MS" w:hAnsi="Trebuchet MS"/>
          <w:bCs/>
          <w:sz w:val="22"/>
          <w:szCs w:val="22"/>
          <w:lang w:val="ro-RO"/>
        </w:rPr>
        <w:t xml:space="preserve">Lege </w:t>
      </w:r>
      <w:r w:rsidR="00EB0E99" w:rsidRPr="002F62A5">
        <w:rPr>
          <w:rFonts w:ascii="Trebuchet MS" w:hAnsi="Trebuchet MS"/>
          <w:bCs/>
          <w:sz w:val="22"/>
          <w:szCs w:val="22"/>
          <w:lang w:val="ro-RO"/>
        </w:rPr>
        <w:t>privind statutul magistraţilor din România</w:t>
      </w:r>
      <w:r w:rsidR="002431F7" w:rsidRPr="002F62A5">
        <w:rPr>
          <w:rFonts w:ascii="Trebuchet MS" w:hAnsi="Trebuchet MS"/>
          <w:sz w:val="22"/>
          <w:szCs w:val="22"/>
          <w:lang w:val="ro-RO"/>
        </w:rPr>
        <w:t xml:space="preserve"> </w:t>
      </w:r>
      <w:r w:rsidR="00366D19" w:rsidRPr="002F62A5">
        <w:rPr>
          <w:rFonts w:ascii="Trebuchet MS" w:hAnsi="Trebuchet MS" w:cs="Arial"/>
          <w:snapToGrid w:val="0"/>
          <w:sz w:val="22"/>
          <w:szCs w:val="22"/>
          <w:lang w:val="ro-RO"/>
        </w:rPr>
        <w:t xml:space="preserve"> </w:t>
      </w:r>
      <w:r w:rsidRPr="002F62A5">
        <w:rPr>
          <w:rFonts w:ascii="Trebuchet MS" w:hAnsi="Trebuchet MS" w:cs="Arial"/>
          <w:sz w:val="22"/>
          <w:szCs w:val="22"/>
          <w:lang w:val="ro-RO"/>
        </w:rPr>
        <w:t xml:space="preserve">pe care, dacă sunteţi de acord, vă rugăm să îl </w:t>
      </w:r>
      <w:r w:rsidR="00366D19" w:rsidRPr="002F62A5">
        <w:rPr>
          <w:rFonts w:ascii="Trebuchet MS" w:hAnsi="Trebuchet MS" w:cs="Arial"/>
          <w:sz w:val="22"/>
          <w:szCs w:val="22"/>
          <w:lang w:val="ro-RO"/>
        </w:rPr>
        <w:t>aprobați</w:t>
      </w:r>
      <w:r w:rsidRPr="002F62A5">
        <w:rPr>
          <w:rFonts w:ascii="Trebuchet MS" w:hAnsi="Trebuchet MS" w:cs="Arial"/>
          <w:sz w:val="22"/>
          <w:szCs w:val="22"/>
          <w:lang w:val="ro-RO"/>
        </w:rPr>
        <w:t>.</w:t>
      </w:r>
    </w:p>
    <w:p w:rsidR="00230621" w:rsidRPr="002F62A5" w:rsidRDefault="00230621" w:rsidP="00386657">
      <w:pPr>
        <w:spacing w:line="276" w:lineRule="auto"/>
        <w:ind w:left="-851" w:right="-660" w:firstLine="720"/>
        <w:jc w:val="both"/>
        <w:rPr>
          <w:rFonts w:ascii="Trebuchet MS" w:hAnsi="Trebuchet MS" w:cs="Arial"/>
          <w:sz w:val="22"/>
          <w:szCs w:val="22"/>
          <w:lang w:val="ro-RO"/>
        </w:rPr>
      </w:pPr>
    </w:p>
    <w:p w:rsidR="00230621" w:rsidRPr="002F62A5" w:rsidRDefault="00230621" w:rsidP="00386657">
      <w:pPr>
        <w:spacing w:line="276" w:lineRule="auto"/>
        <w:ind w:left="-851" w:right="-660" w:firstLine="720"/>
        <w:jc w:val="both"/>
        <w:rPr>
          <w:rFonts w:ascii="Trebuchet MS" w:hAnsi="Trebuchet MS" w:cs="Arial"/>
          <w:sz w:val="22"/>
          <w:szCs w:val="22"/>
          <w:lang w:val="ro-RO"/>
        </w:rPr>
      </w:pPr>
    </w:p>
    <w:p w:rsidR="00682D39" w:rsidRPr="002F62A5" w:rsidRDefault="00682D39" w:rsidP="00386657">
      <w:pPr>
        <w:spacing w:line="276" w:lineRule="auto"/>
        <w:ind w:left="-180" w:right="-212"/>
        <w:jc w:val="center"/>
        <w:outlineLvl w:val="0"/>
        <w:rPr>
          <w:rFonts w:ascii="Trebuchet MS" w:hAnsi="Trebuchet MS" w:cs="Arial"/>
          <w:b/>
          <w:sz w:val="22"/>
          <w:szCs w:val="22"/>
          <w:lang w:val="ro-RO"/>
        </w:rPr>
      </w:pPr>
      <w:r w:rsidRPr="002F62A5">
        <w:rPr>
          <w:rFonts w:ascii="Trebuchet MS" w:hAnsi="Trebuchet MS" w:cs="Arial"/>
          <w:b/>
          <w:sz w:val="22"/>
          <w:szCs w:val="22"/>
          <w:lang w:val="ro-RO"/>
        </w:rPr>
        <w:t>Ministrul Justiţiei</w:t>
      </w:r>
    </w:p>
    <w:p w:rsidR="00682D39" w:rsidRPr="002F62A5" w:rsidRDefault="00682D39" w:rsidP="00386657">
      <w:pPr>
        <w:spacing w:line="276" w:lineRule="auto"/>
        <w:ind w:left="-180" w:right="-212"/>
        <w:jc w:val="center"/>
        <w:outlineLvl w:val="0"/>
        <w:rPr>
          <w:rFonts w:ascii="Trebuchet MS" w:hAnsi="Trebuchet MS" w:cs="Arial"/>
          <w:b/>
          <w:sz w:val="22"/>
          <w:szCs w:val="22"/>
          <w:lang w:val="ro-RO"/>
        </w:rPr>
      </w:pPr>
    </w:p>
    <w:p w:rsidR="00682D39" w:rsidRPr="002F62A5" w:rsidRDefault="00682D39" w:rsidP="00386657">
      <w:pPr>
        <w:spacing w:line="276" w:lineRule="auto"/>
        <w:ind w:right="-212"/>
        <w:rPr>
          <w:rFonts w:ascii="Trebuchet MS" w:hAnsi="Trebuchet MS" w:cs="Arial"/>
          <w:b/>
          <w:sz w:val="22"/>
          <w:szCs w:val="22"/>
          <w:lang w:val="ro-RO"/>
        </w:rPr>
      </w:pPr>
    </w:p>
    <w:p w:rsidR="00682D39" w:rsidRPr="002F62A5" w:rsidRDefault="00EB0E99" w:rsidP="00386657">
      <w:pPr>
        <w:spacing w:line="276" w:lineRule="auto"/>
        <w:ind w:left="-180" w:right="-212"/>
        <w:jc w:val="center"/>
        <w:outlineLvl w:val="0"/>
        <w:rPr>
          <w:rFonts w:ascii="Trebuchet MS" w:hAnsi="Trebuchet MS" w:cs="Arial"/>
          <w:b/>
          <w:sz w:val="22"/>
          <w:szCs w:val="22"/>
          <w:lang w:val="ro-RO"/>
        </w:rPr>
      </w:pPr>
      <w:r w:rsidRPr="002F62A5">
        <w:rPr>
          <w:rFonts w:ascii="Trebuchet MS" w:hAnsi="Trebuchet MS" w:cs="Arial"/>
          <w:b/>
          <w:sz w:val="22"/>
          <w:szCs w:val="22"/>
          <w:lang w:val="ro-RO"/>
        </w:rPr>
        <w:t xml:space="preserve">Cătălin-Marian PREDOIU </w:t>
      </w:r>
    </w:p>
    <w:p w:rsidR="00682D39" w:rsidRPr="002F62A5" w:rsidRDefault="00682D39" w:rsidP="00386657">
      <w:pPr>
        <w:spacing w:line="276" w:lineRule="auto"/>
        <w:ind w:left="-180" w:right="-212"/>
        <w:jc w:val="center"/>
        <w:outlineLvl w:val="0"/>
        <w:rPr>
          <w:rFonts w:ascii="Trebuchet MS" w:hAnsi="Trebuchet MS" w:cs="Arial"/>
          <w:b/>
          <w:sz w:val="22"/>
          <w:szCs w:val="22"/>
          <w:u w:val="single"/>
          <w:lang w:val="ro-RO"/>
        </w:rPr>
      </w:pPr>
    </w:p>
    <w:p w:rsidR="00230621" w:rsidRPr="002F62A5" w:rsidRDefault="00230621" w:rsidP="00386657">
      <w:pPr>
        <w:spacing w:line="276" w:lineRule="auto"/>
        <w:ind w:left="-180" w:right="-212"/>
        <w:jc w:val="center"/>
        <w:outlineLvl w:val="0"/>
        <w:rPr>
          <w:rFonts w:ascii="Trebuchet MS" w:hAnsi="Trebuchet MS" w:cs="Arial"/>
          <w:b/>
          <w:sz w:val="22"/>
          <w:szCs w:val="22"/>
          <w:u w:val="single"/>
          <w:lang w:val="ro-RO"/>
        </w:rPr>
      </w:pPr>
    </w:p>
    <w:sectPr w:rsidR="00230621" w:rsidRPr="002F62A5" w:rsidSect="004040DA">
      <w:footerReference w:type="even" r:id="rId8"/>
      <w:footerReference w:type="default" r:id="rId9"/>
      <w:pgSz w:w="12240" w:h="15840"/>
      <w:pgMar w:top="1134" w:right="1134"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084" w:rsidRDefault="000B3084">
      <w:r>
        <w:separator/>
      </w:r>
    </w:p>
  </w:endnote>
  <w:endnote w:type="continuationSeparator" w:id="0">
    <w:p w:rsidR="000B3084" w:rsidRDefault="000B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9DD" w:rsidRDefault="00CD641B" w:rsidP="001D020A">
    <w:pPr>
      <w:pStyle w:val="Footer"/>
      <w:framePr w:wrap="around" w:vAnchor="text" w:hAnchor="margin" w:xAlign="right" w:y="1"/>
      <w:rPr>
        <w:rStyle w:val="PageNumber"/>
        <w:rFonts w:eastAsia="Arial"/>
      </w:rPr>
    </w:pPr>
    <w:r>
      <w:rPr>
        <w:rStyle w:val="PageNumber"/>
        <w:rFonts w:eastAsia="Arial"/>
      </w:rPr>
      <w:fldChar w:fldCharType="begin"/>
    </w:r>
    <w:r>
      <w:rPr>
        <w:rStyle w:val="PageNumber"/>
        <w:rFonts w:eastAsia="Arial"/>
      </w:rPr>
      <w:instrText xml:space="preserve">PAGE  </w:instrText>
    </w:r>
    <w:r>
      <w:rPr>
        <w:rStyle w:val="PageNumber"/>
        <w:rFonts w:eastAsia="Arial"/>
      </w:rPr>
      <w:fldChar w:fldCharType="end"/>
    </w:r>
  </w:p>
  <w:p w:rsidR="007949DD" w:rsidRDefault="000B3084" w:rsidP="00A166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9DD" w:rsidRDefault="00CD641B" w:rsidP="001D020A">
    <w:pPr>
      <w:pStyle w:val="Footer"/>
      <w:framePr w:wrap="around" w:vAnchor="text" w:hAnchor="margin" w:xAlign="right" w:y="1"/>
      <w:rPr>
        <w:rStyle w:val="PageNumber"/>
        <w:rFonts w:eastAsia="Arial"/>
      </w:rPr>
    </w:pPr>
    <w:r>
      <w:rPr>
        <w:rStyle w:val="PageNumber"/>
        <w:rFonts w:eastAsia="Arial"/>
      </w:rPr>
      <w:fldChar w:fldCharType="begin"/>
    </w:r>
    <w:r>
      <w:rPr>
        <w:rStyle w:val="PageNumber"/>
        <w:rFonts w:eastAsia="Arial"/>
      </w:rPr>
      <w:instrText xml:space="preserve">PAGE  </w:instrText>
    </w:r>
    <w:r>
      <w:rPr>
        <w:rStyle w:val="PageNumber"/>
        <w:rFonts w:eastAsia="Arial"/>
      </w:rPr>
      <w:fldChar w:fldCharType="separate"/>
    </w:r>
    <w:r w:rsidR="00380CB0">
      <w:rPr>
        <w:rStyle w:val="PageNumber"/>
        <w:rFonts w:eastAsia="Arial"/>
        <w:noProof/>
      </w:rPr>
      <w:t>10</w:t>
    </w:r>
    <w:r>
      <w:rPr>
        <w:rStyle w:val="PageNumber"/>
        <w:rFonts w:eastAsia="Arial"/>
      </w:rPr>
      <w:fldChar w:fldCharType="end"/>
    </w:r>
  </w:p>
  <w:p w:rsidR="007949DD" w:rsidRDefault="000B3084" w:rsidP="00A166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084" w:rsidRDefault="000B3084">
      <w:r>
        <w:separator/>
      </w:r>
    </w:p>
  </w:footnote>
  <w:footnote w:type="continuationSeparator" w:id="0">
    <w:p w:rsidR="000B3084" w:rsidRDefault="000B3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06BEC"/>
    <w:multiLevelType w:val="hybridMultilevel"/>
    <w:tmpl w:val="26364B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03AA2"/>
    <w:multiLevelType w:val="hybridMultilevel"/>
    <w:tmpl w:val="4DF04F7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3D45D63"/>
    <w:multiLevelType w:val="hybridMultilevel"/>
    <w:tmpl w:val="BE62257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54F287D"/>
    <w:multiLevelType w:val="hybridMultilevel"/>
    <w:tmpl w:val="4DD08EA0"/>
    <w:lvl w:ilvl="0" w:tplc="344EDB00">
      <w:start w:val="3"/>
      <w:numFmt w:val="bullet"/>
      <w:lvlText w:val="-"/>
      <w:lvlJc w:val="left"/>
      <w:pPr>
        <w:ind w:left="397" w:hanging="360"/>
      </w:pPr>
      <w:rPr>
        <w:rFonts w:ascii="Trebuchet MS" w:eastAsia="Times New Roman" w:hAnsi="Trebuchet MS" w:cs="Arial" w:hint="default"/>
      </w:rPr>
    </w:lvl>
    <w:lvl w:ilvl="1" w:tplc="04180003" w:tentative="1">
      <w:start w:val="1"/>
      <w:numFmt w:val="bullet"/>
      <w:lvlText w:val="o"/>
      <w:lvlJc w:val="left"/>
      <w:pPr>
        <w:ind w:left="1117" w:hanging="360"/>
      </w:pPr>
      <w:rPr>
        <w:rFonts w:ascii="Courier New" w:hAnsi="Courier New" w:cs="Courier New" w:hint="default"/>
      </w:rPr>
    </w:lvl>
    <w:lvl w:ilvl="2" w:tplc="04180005" w:tentative="1">
      <w:start w:val="1"/>
      <w:numFmt w:val="bullet"/>
      <w:lvlText w:val=""/>
      <w:lvlJc w:val="left"/>
      <w:pPr>
        <w:ind w:left="1837" w:hanging="360"/>
      </w:pPr>
      <w:rPr>
        <w:rFonts w:ascii="Wingdings" w:hAnsi="Wingdings" w:hint="default"/>
      </w:rPr>
    </w:lvl>
    <w:lvl w:ilvl="3" w:tplc="04180001" w:tentative="1">
      <w:start w:val="1"/>
      <w:numFmt w:val="bullet"/>
      <w:lvlText w:val=""/>
      <w:lvlJc w:val="left"/>
      <w:pPr>
        <w:ind w:left="2557" w:hanging="360"/>
      </w:pPr>
      <w:rPr>
        <w:rFonts w:ascii="Symbol" w:hAnsi="Symbol" w:hint="default"/>
      </w:rPr>
    </w:lvl>
    <w:lvl w:ilvl="4" w:tplc="04180003" w:tentative="1">
      <w:start w:val="1"/>
      <w:numFmt w:val="bullet"/>
      <w:lvlText w:val="o"/>
      <w:lvlJc w:val="left"/>
      <w:pPr>
        <w:ind w:left="3277" w:hanging="360"/>
      </w:pPr>
      <w:rPr>
        <w:rFonts w:ascii="Courier New" w:hAnsi="Courier New" w:cs="Courier New" w:hint="default"/>
      </w:rPr>
    </w:lvl>
    <w:lvl w:ilvl="5" w:tplc="04180005" w:tentative="1">
      <w:start w:val="1"/>
      <w:numFmt w:val="bullet"/>
      <w:lvlText w:val=""/>
      <w:lvlJc w:val="left"/>
      <w:pPr>
        <w:ind w:left="3997" w:hanging="360"/>
      </w:pPr>
      <w:rPr>
        <w:rFonts w:ascii="Wingdings" w:hAnsi="Wingdings" w:hint="default"/>
      </w:rPr>
    </w:lvl>
    <w:lvl w:ilvl="6" w:tplc="04180001" w:tentative="1">
      <w:start w:val="1"/>
      <w:numFmt w:val="bullet"/>
      <w:lvlText w:val=""/>
      <w:lvlJc w:val="left"/>
      <w:pPr>
        <w:ind w:left="4717" w:hanging="360"/>
      </w:pPr>
      <w:rPr>
        <w:rFonts w:ascii="Symbol" w:hAnsi="Symbol" w:hint="default"/>
      </w:rPr>
    </w:lvl>
    <w:lvl w:ilvl="7" w:tplc="04180003" w:tentative="1">
      <w:start w:val="1"/>
      <w:numFmt w:val="bullet"/>
      <w:lvlText w:val="o"/>
      <w:lvlJc w:val="left"/>
      <w:pPr>
        <w:ind w:left="5437" w:hanging="360"/>
      </w:pPr>
      <w:rPr>
        <w:rFonts w:ascii="Courier New" w:hAnsi="Courier New" w:cs="Courier New" w:hint="default"/>
      </w:rPr>
    </w:lvl>
    <w:lvl w:ilvl="8" w:tplc="04180005" w:tentative="1">
      <w:start w:val="1"/>
      <w:numFmt w:val="bullet"/>
      <w:lvlText w:val=""/>
      <w:lvlJc w:val="left"/>
      <w:pPr>
        <w:ind w:left="6157" w:hanging="360"/>
      </w:pPr>
      <w:rPr>
        <w:rFonts w:ascii="Wingdings" w:hAnsi="Wingdings" w:hint="default"/>
      </w:rPr>
    </w:lvl>
  </w:abstractNum>
  <w:abstractNum w:abstractNumId="4" w15:restartNumberingAfterBreak="0">
    <w:nsid w:val="2B495CFF"/>
    <w:multiLevelType w:val="hybridMultilevel"/>
    <w:tmpl w:val="BBA8A22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617A4"/>
    <w:multiLevelType w:val="hybridMultilevel"/>
    <w:tmpl w:val="E034E4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41A69"/>
    <w:multiLevelType w:val="hybridMultilevel"/>
    <w:tmpl w:val="DBA02B4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C9674F1"/>
    <w:multiLevelType w:val="hybridMultilevel"/>
    <w:tmpl w:val="063C855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5254D0F"/>
    <w:multiLevelType w:val="hybridMultilevel"/>
    <w:tmpl w:val="8A961F06"/>
    <w:lvl w:ilvl="0" w:tplc="260A9098">
      <w:start w:val="1"/>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8C61801"/>
    <w:multiLevelType w:val="hybridMultilevel"/>
    <w:tmpl w:val="059ED42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98C324C"/>
    <w:multiLevelType w:val="hybridMultilevel"/>
    <w:tmpl w:val="D3FAD4AC"/>
    <w:lvl w:ilvl="0" w:tplc="D208381E">
      <w:start w:val="2"/>
      <w:numFmt w:val="bullet"/>
      <w:lvlText w:val="-"/>
      <w:lvlJc w:val="left"/>
      <w:pPr>
        <w:ind w:left="720" w:hanging="360"/>
      </w:pPr>
      <w:rPr>
        <w:rFonts w:ascii="Trebuchet MS" w:eastAsia="Times New Roman" w:hAnsi="Trebuchet MS" w:cs="Times New Roman" w:hint="default"/>
      </w:rPr>
    </w:lvl>
    <w:lvl w:ilvl="1" w:tplc="74F8EB22">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896C97"/>
    <w:multiLevelType w:val="hybridMultilevel"/>
    <w:tmpl w:val="368CF020"/>
    <w:lvl w:ilvl="0" w:tplc="B0BC8C48">
      <w:start w:val="3"/>
      <w:numFmt w:val="bullet"/>
      <w:lvlText w:val="-"/>
      <w:lvlJc w:val="left"/>
      <w:pPr>
        <w:ind w:left="397" w:hanging="360"/>
      </w:pPr>
      <w:rPr>
        <w:rFonts w:ascii="Trebuchet MS" w:eastAsia="Times New Roman" w:hAnsi="Trebuchet MS" w:cs="Arial" w:hint="default"/>
      </w:rPr>
    </w:lvl>
    <w:lvl w:ilvl="1" w:tplc="04180003" w:tentative="1">
      <w:start w:val="1"/>
      <w:numFmt w:val="bullet"/>
      <w:lvlText w:val="o"/>
      <w:lvlJc w:val="left"/>
      <w:pPr>
        <w:ind w:left="1117" w:hanging="360"/>
      </w:pPr>
      <w:rPr>
        <w:rFonts w:ascii="Courier New" w:hAnsi="Courier New" w:cs="Courier New" w:hint="default"/>
      </w:rPr>
    </w:lvl>
    <w:lvl w:ilvl="2" w:tplc="04180005" w:tentative="1">
      <w:start w:val="1"/>
      <w:numFmt w:val="bullet"/>
      <w:lvlText w:val=""/>
      <w:lvlJc w:val="left"/>
      <w:pPr>
        <w:ind w:left="1837" w:hanging="360"/>
      </w:pPr>
      <w:rPr>
        <w:rFonts w:ascii="Wingdings" w:hAnsi="Wingdings" w:hint="default"/>
      </w:rPr>
    </w:lvl>
    <w:lvl w:ilvl="3" w:tplc="04180001" w:tentative="1">
      <w:start w:val="1"/>
      <w:numFmt w:val="bullet"/>
      <w:lvlText w:val=""/>
      <w:lvlJc w:val="left"/>
      <w:pPr>
        <w:ind w:left="2557" w:hanging="360"/>
      </w:pPr>
      <w:rPr>
        <w:rFonts w:ascii="Symbol" w:hAnsi="Symbol" w:hint="default"/>
      </w:rPr>
    </w:lvl>
    <w:lvl w:ilvl="4" w:tplc="04180003" w:tentative="1">
      <w:start w:val="1"/>
      <w:numFmt w:val="bullet"/>
      <w:lvlText w:val="o"/>
      <w:lvlJc w:val="left"/>
      <w:pPr>
        <w:ind w:left="3277" w:hanging="360"/>
      </w:pPr>
      <w:rPr>
        <w:rFonts w:ascii="Courier New" w:hAnsi="Courier New" w:cs="Courier New" w:hint="default"/>
      </w:rPr>
    </w:lvl>
    <w:lvl w:ilvl="5" w:tplc="04180005" w:tentative="1">
      <w:start w:val="1"/>
      <w:numFmt w:val="bullet"/>
      <w:lvlText w:val=""/>
      <w:lvlJc w:val="left"/>
      <w:pPr>
        <w:ind w:left="3997" w:hanging="360"/>
      </w:pPr>
      <w:rPr>
        <w:rFonts w:ascii="Wingdings" w:hAnsi="Wingdings" w:hint="default"/>
      </w:rPr>
    </w:lvl>
    <w:lvl w:ilvl="6" w:tplc="04180001" w:tentative="1">
      <w:start w:val="1"/>
      <w:numFmt w:val="bullet"/>
      <w:lvlText w:val=""/>
      <w:lvlJc w:val="left"/>
      <w:pPr>
        <w:ind w:left="4717" w:hanging="360"/>
      </w:pPr>
      <w:rPr>
        <w:rFonts w:ascii="Symbol" w:hAnsi="Symbol" w:hint="default"/>
      </w:rPr>
    </w:lvl>
    <w:lvl w:ilvl="7" w:tplc="04180003" w:tentative="1">
      <w:start w:val="1"/>
      <w:numFmt w:val="bullet"/>
      <w:lvlText w:val="o"/>
      <w:lvlJc w:val="left"/>
      <w:pPr>
        <w:ind w:left="5437" w:hanging="360"/>
      </w:pPr>
      <w:rPr>
        <w:rFonts w:ascii="Courier New" w:hAnsi="Courier New" w:cs="Courier New" w:hint="default"/>
      </w:rPr>
    </w:lvl>
    <w:lvl w:ilvl="8" w:tplc="04180005" w:tentative="1">
      <w:start w:val="1"/>
      <w:numFmt w:val="bullet"/>
      <w:lvlText w:val=""/>
      <w:lvlJc w:val="left"/>
      <w:pPr>
        <w:ind w:left="6157" w:hanging="360"/>
      </w:pPr>
      <w:rPr>
        <w:rFonts w:ascii="Wingdings" w:hAnsi="Wingdings" w:hint="default"/>
      </w:rPr>
    </w:lvl>
  </w:abstractNum>
  <w:abstractNum w:abstractNumId="12" w15:restartNumberingAfterBreak="0">
    <w:nsid w:val="64F7250F"/>
    <w:multiLevelType w:val="hybridMultilevel"/>
    <w:tmpl w:val="3894EB8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B86040F"/>
    <w:multiLevelType w:val="hybridMultilevel"/>
    <w:tmpl w:val="CAE41B58"/>
    <w:lvl w:ilvl="0" w:tplc="8C10EBB2">
      <w:start w:val="3"/>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7"/>
  </w:num>
  <w:num w:numId="5">
    <w:abstractNumId w:val="8"/>
  </w:num>
  <w:num w:numId="6">
    <w:abstractNumId w:val="12"/>
  </w:num>
  <w:num w:numId="7">
    <w:abstractNumId w:val="1"/>
  </w:num>
  <w:num w:numId="8">
    <w:abstractNumId w:val="2"/>
  </w:num>
  <w:num w:numId="9">
    <w:abstractNumId w:val="11"/>
  </w:num>
  <w:num w:numId="10">
    <w:abstractNumId w:val="3"/>
  </w:num>
  <w:num w:numId="11">
    <w:abstractNumId w:val="13"/>
  </w:num>
  <w:num w:numId="12">
    <w:abstractNumId w:val="5"/>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D39"/>
    <w:rsid w:val="000023D0"/>
    <w:rsid w:val="0001040E"/>
    <w:rsid w:val="00011212"/>
    <w:rsid w:val="0001141D"/>
    <w:rsid w:val="000127E2"/>
    <w:rsid w:val="00017A6E"/>
    <w:rsid w:val="00020E84"/>
    <w:rsid w:val="000218EF"/>
    <w:rsid w:val="00026553"/>
    <w:rsid w:val="000322FC"/>
    <w:rsid w:val="00036BAE"/>
    <w:rsid w:val="000459CD"/>
    <w:rsid w:val="00046034"/>
    <w:rsid w:val="000547DA"/>
    <w:rsid w:val="000638D9"/>
    <w:rsid w:val="00063D88"/>
    <w:rsid w:val="0008175B"/>
    <w:rsid w:val="0008196D"/>
    <w:rsid w:val="00082A28"/>
    <w:rsid w:val="00086F92"/>
    <w:rsid w:val="00086FB3"/>
    <w:rsid w:val="000A1A99"/>
    <w:rsid w:val="000A3FE1"/>
    <w:rsid w:val="000A572E"/>
    <w:rsid w:val="000B3084"/>
    <w:rsid w:val="000B5E13"/>
    <w:rsid w:val="000B784E"/>
    <w:rsid w:val="000C01C1"/>
    <w:rsid w:val="000C12AF"/>
    <w:rsid w:val="000C13A8"/>
    <w:rsid w:val="000E3A4C"/>
    <w:rsid w:val="000E3D8B"/>
    <w:rsid w:val="000F2557"/>
    <w:rsid w:val="000F365A"/>
    <w:rsid w:val="000F71A3"/>
    <w:rsid w:val="000F7B83"/>
    <w:rsid w:val="00100FF5"/>
    <w:rsid w:val="0010161C"/>
    <w:rsid w:val="00107589"/>
    <w:rsid w:val="00110BF1"/>
    <w:rsid w:val="00110EED"/>
    <w:rsid w:val="00124BCF"/>
    <w:rsid w:val="001250E2"/>
    <w:rsid w:val="00126575"/>
    <w:rsid w:val="00130384"/>
    <w:rsid w:val="00130F88"/>
    <w:rsid w:val="0013108E"/>
    <w:rsid w:val="00134B92"/>
    <w:rsid w:val="001367EC"/>
    <w:rsid w:val="00136CF2"/>
    <w:rsid w:val="0014465F"/>
    <w:rsid w:val="00151C47"/>
    <w:rsid w:val="00157AF4"/>
    <w:rsid w:val="00161D80"/>
    <w:rsid w:val="00162C15"/>
    <w:rsid w:val="00164E26"/>
    <w:rsid w:val="00165992"/>
    <w:rsid w:val="0017057F"/>
    <w:rsid w:val="00171A39"/>
    <w:rsid w:val="00181C43"/>
    <w:rsid w:val="00192E32"/>
    <w:rsid w:val="0019394A"/>
    <w:rsid w:val="00194155"/>
    <w:rsid w:val="001A026F"/>
    <w:rsid w:val="001A5432"/>
    <w:rsid w:val="001B3BF6"/>
    <w:rsid w:val="001B3D04"/>
    <w:rsid w:val="001B5243"/>
    <w:rsid w:val="001B5360"/>
    <w:rsid w:val="001B6425"/>
    <w:rsid w:val="001C5CAF"/>
    <w:rsid w:val="001D387B"/>
    <w:rsid w:val="001D7F72"/>
    <w:rsid w:val="001E176C"/>
    <w:rsid w:val="001E7FA7"/>
    <w:rsid w:val="001F094C"/>
    <w:rsid w:val="001F0961"/>
    <w:rsid w:val="001F4363"/>
    <w:rsid w:val="00203278"/>
    <w:rsid w:val="002119E1"/>
    <w:rsid w:val="00222276"/>
    <w:rsid w:val="00226FA7"/>
    <w:rsid w:val="00230621"/>
    <w:rsid w:val="00231F36"/>
    <w:rsid w:val="00236B1C"/>
    <w:rsid w:val="002431F7"/>
    <w:rsid w:val="00247872"/>
    <w:rsid w:val="00252881"/>
    <w:rsid w:val="00254040"/>
    <w:rsid w:val="00257C57"/>
    <w:rsid w:val="00260311"/>
    <w:rsid w:val="002616BA"/>
    <w:rsid w:val="0026313B"/>
    <w:rsid w:val="00265696"/>
    <w:rsid w:val="00272874"/>
    <w:rsid w:val="00280C69"/>
    <w:rsid w:val="00282F36"/>
    <w:rsid w:val="00287ABD"/>
    <w:rsid w:val="0029005D"/>
    <w:rsid w:val="002944D7"/>
    <w:rsid w:val="00295488"/>
    <w:rsid w:val="002957E2"/>
    <w:rsid w:val="0029598A"/>
    <w:rsid w:val="0029598C"/>
    <w:rsid w:val="00297F53"/>
    <w:rsid w:val="002A1602"/>
    <w:rsid w:val="002A3B2C"/>
    <w:rsid w:val="002A512E"/>
    <w:rsid w:val="002B64CC"/>
    <w:rsid w:val="002B7D12"/>
    <w:rsid w:val="002C06B2"/>
    <w:rsid w:val="002C27DC"/>
    <w:rsid w:val="002D0114"/>
    <w:rsid w:val="002D28E2"/>
    <w:rsid w:val="002D461F"/>
    <w:rsid w:val="002E3FBE"/>
    <w:rsid w:val="002E449A"/>
    <w:rsid w:val="002E7228"/>
    <w:rsid w:val="002F0F4F"/>
    <w:rsid w:val="002F49A9"/>
    <w:rsid w:val="002F62A5"/>
    <w:rsid w:val="00315125"/>
    <w:rsid w:val="0031608E"/>
    <w:rsid w:val="003226BB"/>
    <w:rsid w:val="00334501"/>
    <w:rsid w:val="00340584"/>
    <w:rsid w:val="00340B18"/>
    <w:rsid w:val="00345A2B"/>
    <w:rsid w:val="003536AE"/>
    <w:rsid w:val="00357F44"/>
    <w:rsid w:val="00366D19"/>
    <w:rsid w:val="00370A5F"/>
    <w:rsid w:val="00374CFC"/>
    <w:rsid w:val="00374FC2"/>
    <w:rsid w:val="00380CB0"/>
    <w:rsid w:val="003859A6"/>
    <w:rsid w:val="00386657"/>
    <w:rsid w:val="003931E7"/>
    <w:rsid w:val="003A1CCC"/>
    <w:rsid w:val="003A2A71"/>
    <w:rsid w:val="003A67CB"/>
    <w:rsid w:val="003A69B9"/>
    <w:rsid w:val="003B12A2"/>
    <w:rsid w:val="003B6932"/>
    <w:rsid w:val="003C2EDE"/>
    <w:rsid w:val="003C5F69"/>
    <w:rsid w:val="003D0D89"/>
    <w:rsid w:val="003D0F5F"/>
    <w:rsid w:val="003D2BE9"/>
    <w:rsid w:val="003E1BB3"/>
    <w:rsid w:val="003E556D"/>
    <w:rsid w:val="003F3EED"/>
    <w:rsid w:val="003F72C5"/>
    <w:rsid w:val="0040366A"/>
    <w:rsid w:val="004040DA"/>
    <w:rsid w:val="0040555C"/>
    <w:rsid w:val="00406543"/>
    <w:rsid w:val="00410698"/>
    <w:rsid w:val="00411056"/>
    <w:rsid w:val="0042115C"/>
    <w:rsid w:val="00425FC7"/>
    <w:rsid w:val="00434F9D"/>
    <w:rsid w:val="004352AB"/>
    <w:rsid w:val="00454D0F"/>
    <w:rsid w:val="004613AC"/>
    <w:rsid w:val="00461677"/>
    <w:rsid w:val="00466140"/>
    <w:rsid w:val="004714D5"/>
    <w:rsid w:val="004731E8"/>
    <w:rsid w:val="00474FB1"/>
    <w:rsid w:val="00480760"/>
    <w:rsid w:val="00486D6F"/>
    <w:rsid w:val="004A450D"/>
    <w:rsid w:val="004B3019"/>
    <w:rsid w:val="004B3A43"/>
    <w:rsid w:val="004C657F"/>
    <w:rsid w:val="004D0332"/>
    <w:rsid w:val="004D2E19"/>
    <w:rsid w:val="004E5978"/>
    <w:rsid w:val="004E7C0C"/>
    <w:rsid w:val="004F679D"/>
    <w:rsid w:val="004F6AA3"/>
    <w:rsid w:val="0050125A"/>
    <w:rsid w:val="00501A8C"/>
    <w:rsid w:val="00502CF9"/>
    <w:rsid w:val="00505147"/>
    <w:rsid w:val="0051335F"/>
    <w:rsid w:val="00515A1A"/>
    <w:rsid w:val="005170AA"/>
    <w:rsid w:val="005176C0"/>
    <w:rsid w:val="00522959"/>
    <w:rsid w:val="005242D3"/>
    <w:rsid w:val="00524E5A"/>
    <w:rsid w:val="005254BC"/>
    <w:rsid w:val="005263C5"/>
    <w:rsid w:val="0054270E"/>
    <w:rsid w:val="00546B9E"/>
    <w:rsid w:val="00550EB3"/>
    <w:rsid w:val="00554D32"/>
    <w:rsid w:val="00565421"/>
    <w:rsid w:val="005658F5"/>
    <w:rsid w:val="00574B6A"/>
    <w:rsid w:val="00574D92"/>
    <w:rsid w:val="00581D7A"/>
    <w:rsid w:val="005832B3"/>
    <w:rsid w:val="00583BC6"/>
    <w:rsid w:val="00587E2D"/>
    <w:rsid w:val="0059353E"/>
    <w:rsid w:val="0059463C"/>
    <w:rsid w:val="0059529F"/>
    <w:rsid w:val="005A09FF"/>
    <w:rsid w:val="005A16C2"/>
    <w:rsid w:val="005A396E"/>
    <w:rsid w:val="005A5211"/>
    <w:rsid w:val="005B73BC"/>
    <w:rsid w:val="005C1F2E"/>
    <w:rsid w:val="005C3167"/>
    <w:rsid w:val="005C7928"/>
    <w:rsid w:val="005C7C4B"/>
    <w:rsid w:val="005D1E89"/>
    <w:rsid w:val="005D1F87"/>
    <w:rsid w:val="005D5B1A"/>
    <w:rsid w:val="005E5CDC"/>
    <w:rsid w:val="005F2FAD"/>
    <w:rsid w:val="005F4F9A"/>
    <w:rsid w:val="005F661D"/>
    <w:rsid w:val="005F6AEB"/>
    <w:rsid w:val="0060307B"/>
    <w:rsid w:val="0060369F"/>
    <w:rsid w:val="00603D2B"/>
    <w:rsid w:val="00610733"/>
    <w:rsid w:val="006112DF"/>
    <w:rsid w:val="0061383C"/>
    <w:rsid w:val="00625961"/>
    <w:rsid w:val="00625A2F"/>
    <w:rsid w:val="00633BF7"/>
    <w:rsid w:val="00642046"/>
    <w:rsid w:val="00643EB7"/>
    <w:rsid w:val="0064496D"/>
    <w:rsid w:val="00647968"/>
    <w:rsid w:val="006525B9"/>
    <w:rsid w:val="00655CE9"/>
    <w:rsid w:val="00656591"/>
    <w:rsid w:val="00661D32"/>
    <w:rsid w:val="00666FE9"/>
    <w:rsid w:val="006673D0"/>
    <w:rsid w:val="00675195"/>
    <w:rsid w:val="00677429"/>
    <w:rsid w:val="00681D48"/>
    <w:rsid w:val="00682D39"/>
    <w:rsid w:val="00690F02"/>
    <w:rsid w:val="00693D37"/>
    <w:rsid w:val="006A09CC"/>
    <w:rsid w:val="006A5986"/>
    <w:rsid w:val="006B209F"/>
    <w:rsid w:val="006C48BC"/>
    <w:rsid w:val="006D0B2A"/>
    <w:rsid w:val="006E5801"/>
    <w:rsid w:val="006F114A"/>
    <w:rsid w:val="00702F60"/>
    <w:rsid w:val="00705C2F"/>
    <w:rsid w:val="00706031"/>
    <w:rsid w:val="00710056"/>
    <w:rsid w:val="0071769E"/>
    <w:rsid w:val="00717FEE"/>
    <w:rsid w:val="00720615"/>
    <w:rsid w:val="00722502"/>
    <w:rsid w:val="00723856"/>
    <w:rsid w:val="00726653"/>
    <w:rsid w:val="00737514"/>
    <w:rsid w:val="00737936"/>
    <w:rsid w:val="00742780"/>
    <w:rsid w:val="00743484"/>
    <w:rsid w:val="00745EB3"/>
    <w:rsid w:val="00750A0F"/>
    <w:rsid w:val="007513BE"/>
    <w:rsid w:val="00752798"/>
    <w:rsid w:val="007673B5"/>
    <w:rsid w:val="00772A20"/>
    <w:rsid w:val="00773D3A"/>
    <w:rsid w:val="00775C4D"/>
    <w:rsid w:val="00782274"/>
    <w:rsid w:val="00782449"/>
    <w:rsid w:val="007828EB"/>
    <w:rsid w:val="0078409C"/>
    <w:rsid w:val="00784398"/>
    <w:rsid w:val="00790D85"/>
    <w:rsid w:val="0079679D"/>
    <w:rsid w:val="00797A1C"/>
    <w:rsid w:val="007A0B43"/>
    <w:rsid w:val="007A547C"/>
    <w:rsid w:val="007B1529"/>
    <w:rsid w:val="007B5822"/>
    <w:rsid w:val="007C0C55"/>
    <w:rsid w:val="007C15A1"/>
    <w:rsid w:val="007C1A6D"/>
    <w:rsid w:val="007C23EA"/>
    <w:rsid w:val="007C4EF9"/>
    <w:rsid w:val="007D3BD6"/>
    <w:rsid w:val="007D50B5"/>
    <w:rsid w:val="007E07B7"/>
    <w:rsid w:val="007E1AB7"/>
    <w:rsid w:val="007F7C05"/>
    <w:rsid w:val="00800710"/>
    <w:rsid w:val="00804FFD"/>
    <w:rsid w:val="00811D7C"/>
    <w:rsid w:val="0081350C"/>
    <w:rsid w:val="008135EF"/>
    <w:rsid w:val="0081574F"/>
    <w:rsid w:val="00824A4F"/>
    <w:rsid w:val="00824F57"/>
    <w:rsid w:val="00831D7F"/>
    <w:rsid w:val="00834005"/>
    <w:rsid w:val="00836C28"/>
    <w:rsid w:val="0084414E"/>
    <w:rsid w:val="008453D4"/>
    <w:rsid w:val="0085360D"/>
    <w:rsid w:val="00866092"/>
    <w:rsid w:val="00866D7D"/>
    <w:rsid w:val="00871B70"/>
    <w:rsid w:val="00872C2F"/>
    <w:rsid w:val="0088413E"/>
    <w:rsid w:val="0088440E"/>
    <w:rsid w:val="008845D9"/>
    <w:rsid w:val="008861DD"/>
    <w:rsid w:val="008935BA"/>
    <w:rsid w:val="008A30C6"/>
    <w:rsid w:val="008A447D"/>
    <w:rsid w:val="008B516A"/>
    <w:rsid w:val="008C0E95"/>
    <w:rsid w:val="008C16BB"/>
    <w:rsid w:val="008C3059"/>
    <w:rsid w:val="008D2BA0"/>
    <w:rsid w:val="008E127A"/>
    <w:rsid w:val="008E1CC2"/>
    <w:rsid w:val="008E59C5"/>
    <w:rsid w:val="008F2591"/>
    <w:rsid w:val="008F38FE"/>
    <w:rsid w:val="008F5151"/>
    <w:rsid w:val="009012BD"/>
    <w:rsid w:val="0090372A"/>
    <w:rsid w:val="00915D34"/>
    <w:rsid w:val="009237AB"/>
    <w:rsid w:val="00926051"/>
    <w:rsid w:val="009313D2"/>
    <w:rsid w:val="009323E0"/>
    <w:rsid w:val="00934A3D"/>
    <w:rsid w:val="0094022C"/>
    <w:rsid w:val="00943352"/>
    <w:rsid w:val="00953F32"/>
    <w:rsid w:val="00965A10"/>
    <w:rsid w:val="009660D1"/>
    <w:rsid w:val="00967551"/>
    <w:rsid w:val="0096774A"/>
    <w:rsid w:val="00977088"/>
    <w:rsid w:val="00983941"/>
    <w:rsid w:val="00992DB5"/>
    <w:rsid w:val="009A79BA"/>
    <w:rsid w:val="009B0CA3"/>
    <w:rsid w:val="009C50A8"/>
    <w:rsid w:val="009D4CC8"/>
    <w:rsid w:val="009D5F9E"/>
    <w:rsid w:val="009D6535"/>
    <w:rsid w:val="009E1480"/>
    <w:rsid w:val="009E46D1"/>
    <w:rsid w:val="009F04F9"/>
    <w:rsid w:val="009F549C"/>
    <w:rsid w:val="00A0036A"/>
    <w:rsid w:val="00A012F2"/>
    <w:rsid w:val="00A0265E"/>
    <w:rsid w:val="00A05DEF"/>
    <w:rsid w:val="00A148DA"/>
    <w:rsid w:val="00A14D7B"/>
    <w:rsid w:val="00A20F57"/>
    <w:rsid w:val="00A21FBF"/>
    <w:rsid w:val="00A229DB"/>
    <w:rsid w:val="00A32B4D"/>
    <w:rsid w:val="00A34E4A"/>
    <w:rsid w:val="00A35ACA"/>
    <w:rsid w:val="00A37674"/>
    <w:rsid w:val="00A37FAB"/>
    <w:rsid w:val="00A40444"/>
    <w:rsid w:val="00A43C6D"/>
    <w:rsid w:val="00A50C7F"/>
    <w:rsid w:val="00A54BDF"/>
    <w:rsid w:val="00A6103C"/>
    <w:rsid w:val="00A65D66"/>
    <w:rsid w:val="00A743C5"/>
    <w:rsid w:val="00A76612"/>
    <w:rsid w:val="00A773D3"/>
    <w:rsid w:val="00A80C5B"/>
    <w:rsid w:val="00A911E7"/>
    <w:rsid w:val="00A9450E"/>
    <w:rsid w:val="00A96BA6"/>
    <w:rsid w:val="00AA0991"/>
    <w:rsid w:val="00AA3666"/>
    <w:rsid w:val="00AB0A7F"/>
    <w:rsid w:val="00AB5518"/>
    <w:rsid w:val="00AB595E"/>
    <w:rsid w:val="00AB6CFB"/>
    <w:rsid w:val="00AB784B"/>
    <w:rsid w:val="00AC2372"/>
    <w:rsid w:val="00AC4DC2"/>
    <w:rsid w:val="00AC61CD"/>
    <w:rsid w:val="00AD279E"/>
    <w:rsid w:val="00AD2EC8"/>
    <w:rsid w:val="00AE4B72"/>
    <w:rsid w:val="00AF2BA8"/>
    <w:rsid w:val="00AF3153"/>
    <w:rsid w:val="00AF7205"/>
    <w:rsid w:val="00B1014D"/>
    <w:rsid w:val="00B111EC"/>
    <w:rsid w:val="00B11BFC"/>
    <w:rsid w:val="00B14124"/>
    <w:rsid w:val="00B239E6"/>
    <w:rsid w:val="00B328AB"/>
    <w:rsid w:val="00B35C84"/>
    <w:rsid w:val="00B36CEC"/>
    <w:rsid w:val="00B374C6"/>
    <w:rsid w:val="00B37BF2"/>
    <w:rsid w:val="00B4224D"/>
    <w:rsid w:val="00B5059E"/>
    <w:rsid w:val="00B51F50"/>
    <w:rsid w:val="00B57D94"/>
    <w:rsid w:val="00B644B2"/>
    <w:rsid w:val="00B740E9"/>
    <w:rsid w:val="00B803FC"/>
    <w:rsid w:val="00B82F74"/>
    <w:rsid w:val="00B839D6"/>
    <w:rsid w:val="00B84190"/>
    <w:rsid w:val="00B84983"/>
    <w:rsid w:val="00B8702C"/>
    <w:rsid w:val="00BA0B4A"/>
    <w:rsid w:val="00BA4EF4"/>
    <w:rsid w:val="00BB1511"/>
    <w:rsid w:val="00BB5C4B"/>
    <w:rsid w:val="00BC3E8A"/>
    <w:rsid w:val="00BC40C1"/>
    <w:rsid w:val="00BC7849"/>
    <w:rsid w:val="00BE6536"/>
    <w:rsid w:val="00BE7AEE"/>
    <w:rsid w:val="00BF6677"/>
    <w:rsid w:val="00C011F1"/>
    <w:rsid w:val="00C10A6D"/>
    <w:rsid w:val="00C10BE4"/>
    <w:rsid w:val="00C10C43"/>
    <w:rsid w:val="00C13BD0"/>
    <w:rsid w:val="00C17D34"/>
    <w:rsid w:val="00C17DA0"/>
    <w:rsid w:val="00C205CD"/>
    <w:rsid w:val="00C2114A"/>
    <w:rsid w:val="00C307C3"/>
    <w:rsid w:val="00C34EC9"/>
    <w:rsid w:val="00C405D7"/>
    <w:rsid w:val="00C440B7"/>
    <w:rsid w:val="00C50F5C"/>
    <w:rsid w:val="00C5322F"/>
    <w:rsid w:val="00C621C8"/>
    <w:rsid w:val="00C65705"/>
    <w:rsid w:val="00C777C0"/>
    <w:rsid w:val="00C809F3"/>
    <w:rsid w:val="00C90E36"/>
    <w:rsid w:val="00CB7DB2"/>
    <w:rsid w:val="00CC14DE"/>
    <w:rsid w:val="00CC5905"/>
    <w:rsid w:val="00CC7006"/>
    <w:rsid w:val="00CD021F"/>
    <w:rsid w:val="00CD641B"/>
    <w:rsid w:val="00CE18E2"/>
    <w:rsid w:val="00CE3C3A"/>
    <w:rsid w:val="00CE6F13"/>
    <w:rsid w:val="00D03A50"/>
    <w:rsid w:val="00D11D65"/>
    <w:rsid w:val="00D120AA"/>
    <w:rsid w:val="00D16C5F"/>
    <w:rsid w:val="00D17306"/>
    <w:rsid w:val="00D215F4"/>
    <w:rsid w:val="00D239FB"/>
    <w:rsid w:val="00D37C77"/>
    <w:rsid w:val="00D40053"/>
    <w:rsid w:val="00D42A25"/>
    <w:rsid w:val="00D43D89"/>
    <w:rsid w:val="00D451DF"/>
    <w:rsid w:val="00D47795"/>
    <w:rsid w:val="00D61617"/>
    <w:rsid w:val="00D631F1"/>
    <w:rsid w:val="00D734D8"/>
    <w:rsid w:val="00D76F5D"/>
    <w:rsid w:val="00D807A3"/>
    <w:rsid w:val="00D83BB5"/>
    <w:rsid w:val="00D9140A"/>
    <w:rsid w:val="00D96720"/>
    <w:rsid w:val="00DA2480"/>
    <w:rsid w:val="00DB46C1"/>
    <w:rsid w:val="00DC2D5C"/>
    <w:rsid w:val="00DC4036"/>
    <w:rsid w:val="00DD21B4"/>
    <w:rsid w:val="00DD5A27"/>
    <w:rsid w:val="00DD62F8"/>
    <w:rsid w:val="00DD699F"/>
    <w:rsid w:val="00DE4D89"/>
    <w:rsid w:val="00DF00B2"/>
    <w:rsid w:val="00DF55DD"/>
    <w:rsid w:val="00DF60CC"/>
    <w:rsid w:val="00E011DE"/>
    <w:rsid w:val="00E05BE4"/>
    <w:rsid w:val="00E0677C"/>
    <w:rsid w:val="00E1078E"/>
    <w:rsid w:val="00E12532"/>
    <w:rsid w:val="00E15872"/>
    <w:rsid w:val="00E17AD3"/>
    <w:rsid w:val="00E2181B"/>
    <w:rsid w:val="00E25618"/>
    <w:rsid w:val="00E26C2D"/>
    <w:rsid w:val="00E33B23"/>
    <w:rsid w:val="00E42990"/>
    <w:rsid w:val="00E42D07"/>
    <w:rsid w:val="00E47516"/>
    <w:rsid w:val="00E47744"/>
    <w:rsid w:val="00E543E2"/>
    <w:rsid w:val="00E54BFB"/>
    <w:rsid w:val="00E578F9"/>
    <w:rsid w:val="00E616A2"/>
    <w:rsid w:val="00E62B4E"/>
    <w:rsid w:val="00E71A12"/>
    <w:rsid w:val="00E81B38"/>
    <w:rsid w:val="00E8287A"/>
    <w:rsid w:val="00E84FA2"/>
    <w:rsid w:val="00E85727"/>
    <w:rsid w:val="00E92E4B"/>
    <w:rsid w:val="00EA21D1"/>
    <w:rsid w:val="00EA32FB"/>
    <w:rsid w:val="00EA39C2"/>
    <w:rsid w:val="00EB022F"/>
    <w:rsid w:val="00EB0E99"/>
    <w:rsid w:val="00EC1F5F"/>
    <w:rsid w:val="00ED27C3"/>
    <w:rsid w:val="00ED3E85"/>
    <w:rsid w:val="00ED5CA9"/>
    <w:rsid w:val="00EE2471"/>
    <w:rsid w:val="00EE4735"/>
    <w:rsid w:val="00EF29C5"/>
    <w:rsid w:val="00EF40B5"/>
    <w:rsid w:val="00F00E45"/>
    <w:rsid w:val="00F04006"/>
    <w:rsid w:val="00F049BC"/>
    <w:rsid w:val="00F1711B"/>
    <w:rsid w:val="00F20CA6"/>
    <w:rsid w:val="00F25770"/>
    <w:rsid w:val="00F30283"/>
    <w:rsid w:val="00F37875"/>
    <w:rsid w:val="00F40D4C"/>
    <w:rsid w:val="00F4663E"/>
    <w:rsid w:val="00F57FE2"/>
    <w:rsid w:val="00F61A57"/>
    <w:rsid w:val="00F6256A"/>
    <w:rsid w:val="00F74624"/>
    <w:rsid w:val="00F750E5"/>
    <w:rsid w:val="00F75671"/>
    <w:rsid w:val="00F77B10"/>
    <w:rsid w:val="00F81114"/>
    <w:rsid w:val="00F81AFF"/>
    <w:rsid w:val="00F841A3"/>
    <w:rsid w:val="00F846E0"/>
    <w:rsid w:val="00F851E0"/>
    <w:rsid w:val="00F8766F"/>
    <w:rsid w:val="00F932F3"/>
    <w:rsid w:val="00FB1232"/>
    <w:rsid w:val="00FB38EA"/>
    <w:rsid w:val="00FB729A"/>
    <w:rsid w:val="00FC5908"/>
    <w:rsid w:val="00FC7668"/>
    <w:rsid w:val="00FD112E"/>
    <w:rsid w:val="00FE0A5C"/>
    <w:rsid w:val="00FE7D63"/>
    <w:rsid w:val="00FF6CB1"/>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DADAE-FBFE-424C-B31F-C455A8FA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D3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434F9D"/>
    <w:pPr>
      <w:spacing w:before="100" w:beforeAutospacing="1" w:after="100" w:afterAutospacing="1"/>
      <w:outlineLvl w:val="1"/>
    </w:pPr>
    <w:rPr>
      <w:b/>
      <w:bCs/>
      <w:sz w:val="36"/>
      <w:szCs w:val="3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82D39"/>
    <w:pPr>
      <w:tabs>
        <w:tab w:val="center" w:pos="4536"/>
        <w:tab w:val="right" w:pos="9072"/>
      </w:tabs>
    </w:pPr>
  </w:style>
  <w:style w:type="character" w:customStyle="1" w:styleId="FooterChar">
    <w:name w:val="Footer Char"/>
    <w:basedOn w:val="DefaultParagraphFont"/>
    <w:link w:val="Footer"/>
    <w:rsid w:val="00682D39"/>
    <w:rPr>
      <w:rFonts w:ascii="Times New Roman" w:eastAsia="Times New Roman" w:hAnsi="Times New Roman" w:cs="Times New Roman"/>
      <w:sz w:val="24"/>
      <w:szCs w:val="24"/>
    </w:rPr>
  </w:style>
  <w:style w:type="character" w:styleId="PageNumber">
    <w:name w:val="page number"/>
    <w:basedOn w:val="DefaultParagraphFont"/>
    <w:rsid w:val="00682D39"/>
  </w:style>
  <w:style w:type="paragraph" w:styleId="ListParagraph">
    <w:name w:val="List Paragraph"/>
    <w:basedOn w:val="Normal"/>
    <w:uiPriority w:val="34"/>
    <w:qFormat/>
    <w:rsid w:val="00682D39"/>
    <w:pPr>
      <w:spacing w:after="100" w:afterAutospacing="1"/>
      <w:ind w:left="720"/>
      <w:contextualSpacing/>
    </w:pPr>
    <w:rPr>
      <w:rFonts w:ascii="Calibri" w:hAnsi="Calibri"/>
      <w:sz w:val="22"/>
      <w:szCs w:val="22"/>
    </w:rPr>
  </w:style>
  <w:style w:type="paragraph" w:customStyle="1" w:styleId="Default">
    <w:name w:val="Default"/>
    <w:basedOn w:val="Normal"/>
    <w:rsid w:val="009A79BA"/>
    <w:pPr>
      <w:autoSpaceDE w:val="0"/>
      <w:autoSpaceDN w:val="0"/>
    </w:pPr>
    <w:rPr>
      <w:rFonts w:eastAsiaTheme="minorHAnsi"/>
      <w:color w:val="000000"/>
    </w:rPr>
  </w:style>
  <w:style w:type="paragraph" w:customStyle="1" w:styleId="rvps1">
    <w:name w:val="rvps1"/>
    <w:basedOn w:val="Normal"/>
    <w:rsid w:val="007C0C55"/>
    <w:pPr>
      <w:spacing w:before="100" w:beforeAutospacing="1" w:after="100" w:afterAutospacing="1"/>
    </w:pPr>
    <w:rPr>
      <w:lang w:val="ro-RO" w:eastAsia="ro-RO"/>
    </w:rPr>
  </w:style>
  <w:style w:type="character" w:customStyle="1" w:styleId="rvts10">
    <w:name w:val="rvts10"/>
    <w:basedOn w:val="DefaultParagraphFont"/>
    <w:rsid w:val="007C0C55"/>
  </w:style>
  <w:style w:type="character" w:styleId="Strong">
    <w:name w:val="Strong"/>
    <w:basedOn w:val="DefaultParagraphFont"/>
    <w:uiPriority w:val="22"/>
    <w:qFormat/>
    <w:rsid w:val="00DD62F8"/>
    <w:rPr>
      <w:b/>
      <w:bCs/>
    </w:rPr>
  </w:style>
  <w:style w:type="paragraph" w:styleId="FootnoteText">
    <w:name w:val="footnote text"/>
    <w:basedOn w:val="Normal"/>
    <w:link w:val="FootnoteTextChar"/>
    <w:uiPriority w:val="99"/>
    <w:semiHidden/>
    <w:unhideWhenUsed/>
    <w:rsid w:val="00953F32"/>
    <w:rPr>
      <w:rFonts w:asciiTheme="minorHAnsi" w:eastAsiaTheme="minorHAnsi" w:hAnsiTheme="minorHAnsi" w:cstheme="minorBidi"/>
      <w:sz w:val="20"/>
      <w:szCs w:val="20"/>
      <w:lang w:val="ro-RO"/>
    </w:rPr>
  </w:style>
  <w:style w:type="character" w:customStyle="1" w:styleId="FootnoteTextChar">
    <w:name w:val="Footnote Text Char"/>
    <w:basedOn w:val="DefaultParagraphFont"/>
    <w:link w:val="FootnoteText"/>
    <w:uiPriority w:val="99"/>
    <w:semiHidden/>
    <w:rsid w:val="00953F32"/>
    <w:rPr>
      <w:sz w:val="20"/>
      <w:szCs w:val="20"/>
      <w:lang w:val="ro-RO"/>
    </w:rPr>
  </w:style>
  <w:style w:type="character" w:styleId="FootnoteReference">
    <w:name w:val="footnote reference"/>
    <w:basedOn w:val="DefaultParagraphFont"/>
    <w:uiPriority w:val="99"/>
    <w:semiHidden/>
    <w:unhideWhenUsed/>
    <w:rsid w:val="00953F32"/>
    <w:rPr>
      <w:vertAlign w:val="superscript"/>
    </w:rPr>
  </w:style>
  <w:style w:type="paragraph" w:styleId="BalloonText">
    <w:name w:val="Balloon Text"/>
    <w:basedOn w:val="Normal"/>
    <w:link w:val="BalloonTextChar"/>
    <w:uiPriority w:val="99"/>
    <w:semiHidden/>
    <w:unhideWhenUsed/>
    <w:rsid w:val="005D1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E89"/>
    <w:rPr>
      <w:rFonts w:ascii="Segoe UI" w:eastAsia="Times New Roman" w:hAnsi="Segoe UI" w:cs="Segoe UI"/>
      <w:sz w:val="18"/>
      <w:szCs w:val="18"/>
    </w:rPr>
  </w:style>
  <w:style w:type="paragraph" w:customStyle="1" w:styleId="Style3">
    <w:name w:val="Style3"/>
    <w:basedOn w:val="Normal"/>
    <w:rsid w:val="00410698"/>
    <w:pPr>
      <w:widowControl w:val="0"/>
      <w:autoSpaceDE w:val="0"/>
      <w:autoSpaceDN w:val="0"/>
      <w:adjustRightInd w:val="0"/>
      <w:spacing w:line="310" w:lineRule="exact"/>
      <w:jc w:val="both"/>
    </w:pPr>
    <w:rPr>
      <w:lang w:val="ro-RO" w:eastAsia="ro-RO"/>
    </w:rPr>
  </w:style>
  <w:style w:type="paragraph" w:customStyle="1" w:styleId="xmsonormal">
    <w:name w:val="x_msonormal"/>
    <w:basedOn w:val="Normal"/>
    <w:rsid w:val="00410698"/>
    <w:pPr>
      <w:spacing w:before="100" w:beforeAutospacing="1" w:after="100" w:afterAutospacing="1"/>
    </w:pPr>
    <w:rPr>
      <w:lang w:val="en-GB" w:eastAsia="en-GB"/>
    </w:rPr>
  </w:style>
  <w:style w:type="character" w:customStyle="1" w:styleId="Heading2Char">
    <w:name w:val="Heading 2 Char"/>
    <w:basedOn w:val="DefaultParagraphFont"/>
    <w:link w:val="Heading2"/>
    <w:uiPriority w:val="9"/>
    <w:rsid w:val="00434F9D"/>
    <w:rPr>
      <w:rFonts w:ascii="Times New Roman" w:eastAsia="Times New Roman" w:hAnsi="Times New Roman" w:cs="Times New Roman"/>
      <w:b/>
      <w:bCs/>
      <w:sz w:val="36"/>
      <w:szCs w:val="3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806189">
      <w:bodyDiv w:val="1"/>
      <w:marLeft w:val="0"/>
      <w:marRight w:val="0"/>
      <w:marTop w:val="0"/>
      <w:marBottom w:val="0"/>
      <w:divBdr>
        <w:top w:val="none" w:sz="0" w:space="0" w:color="auto"/>
        <w:left w:val="none" w:sz="0" w:space="0" w:color="auto"/>
        <w:bottom w:val="none" w:sz="0" w:space="0" w:color="auto"/>
        <w:right w:val="none" w:sz="0" w:space="0" w:color="auto"/>
      </w:divBdr>
    </w:div>
    <w:div w:id="512643798">
      <w:bodyDiv w:val="1"/>
      <w:marLeft w:val="0"/>
      <w:marRight w:val="0"/>
      <w:marTop w:val="0"/>
      <w:marBottom w:val="0"/>
      <w:divBdr>
        <w:top w:val="none" w:sz="0" w:space="0" w:color="auto"/>
        <w:left w:val="none" w:sz="0" w:space="0" w:color="auto"/>
        <w:bottom w:val="none" w:sz="0" w:space="0" w:color="auto"/>
        <w:right w:val="none" w:sz="0" w:space="0" w:color="auto"/>
      </w:divBdr>
    </w:div>
    <w:div w:id="982538840">
      <w:bodyDiv w:val="1"/>
      <w:marLeft w:val="0"/>
      <w:marRight w:val="0"/>
      <w:marTop w:val="0"/>
      <w:marBottom w:val="0"/>
      <w:divBdr>
        <w:top w:val="none" w:sz="0" w:space="0" w:color="auto"/>
        <w:left w:val="none" w:sz="0" w:space="0" w:color="auto"/>
        <w:bottom w:val="none" w:sz="0" w:space="0" w:color="auto"/>
        <w:right w:val="none" w:sz="0" w:space="0" w:color="auto"/>
      </w:divBdr>
    </w:div>
    <w:div w:id="136486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427F2-AF8C-42F4-AC0E-0EE17B93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4865</Words>
  <Characters>27737</Characters>
  <DocSecurity>0</DocSecurity>
  <Lines>231</Lines>
  <Paragraphs>65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2017-10-25T08:48:00Z</cp:lastPrinted>
  <dcterms:created xsi:type="dcterms:W3CDTF">2020-09-30T12:25:00Z</dcterms:created>
  <dcterms:modified xsi:type="dcterms:W3CDTF">2020-09-30T12:25:00Z</dcterms:modified>
</cp:coreProperties>
</file>