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AD" w:rsidRPr="00482ED6" w:rsidRDefault="00396CAD" w:rsidP="00D63C04">
      <w:pPr>
        <w:jc w:val="both"/>
        <w:rPr>
          <w:sz w:val="22"/>
          <w:szCs w:val="22"/>
        </w:rPr>
      </w:pPr>
    </w:p>
    <w:tbl>
      <w:tblPr>
        <w:tblStyle w:val="TableGrid"/>
        <w:tblpPr w:leftFromText="180" w:rightFromText="180" w:horzAnchor="page" w:tblpX="4225" w:tblpY="-1715"/>
        <w:tblW w:w="6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1362"/>
        <w:gridCol w:w="2321"/>
      </w:tblGrid>
      <w:tr w:rsidR="002836D5" w:rsidRPr="007C262A" w:rsidTr="00F8052C">
        <w:trPr>
          <w:trHeight w:val="3392"/>
        </w:trPr>
        <w:tc>
          <w:tcPr>
            <w:tcW w:w="2884" w:type="dxa"/>
          </w:tcPr>
          <w:p w:rsidR="00144DC1" w:rsidRPr="007C262A" w:rsidRDefault="00144DC1" w:rsidP="00D63C04">
            <w:pPr>
              <w:spacing w:after="120"/>
              <w:jc w:val="both"/>
              <w:rPr>
                <w:b/>
                <w:sz w:val="16"/>
                <w:szCs w:val="16"/>
              </w:rPr>
            </w:pPr>
          </w:p>
        </w:tc>
        <w:tc>
          <w:tcPr>
            <w:tcW w:w="1362" w:type="dxa"/>
          </w:tcPr>
          <w:p w:rsidR="00144DC1" w:rsidRPr="007C262A" w:rsidRDefault="00144DC1" w:rsidP="00D63C04">
            <w:pPr>
              <w:spacing w:after="120"/>
              <w:jc w:val="both"/>
              <w:rPr>
                <w:b/>
                <w:sz w:val="16"/>
                <w:szCs w:val="16"/>
              </w:rPr>
            </w:pPr>
          </w:p>
        </w:tc>
        <w:tc>
          <w:tcPr>
            <w:tcW w:w="2321" w:type="dxa"/>
          </w:tcPr>
          <w:p w:rsidR="00144DC1" w:rsidRPr="007C262A" w:rsidRDefault="00144DC1" w:rsidP="00D63C04">
            <w:pPr>
              <w:spacing w:after="120"/>
              <w:jc w:val="both"/>
              <w:rPr>
                <w:b/>
                <w:sz w:val="16"/>
                <w:szCs w:val="16"/>
              </w:rPr>
            </w:pPr>
          </w:p>
        </w:tc>
      </w:tr>
    </w:tbl>
    <w:p w:rsidR="00636FA1" w:rsidRPr="00EE5620" w:rsidRDefault="00C1482E" w:rsidP="00C1482E">
      <w:pPr>
        <w:tabs>
          <w:tab w:val="left" w:pos="6474"/>
          <w:tab w:val="left" w:pos="7371"/>
        </w:tabs>
        <w:spacing w:after="120" w:line="240" w:lineRule="auto"/>
        <w:ind w:right="283"/>
        <w:jc w:val="right"/>
        <w:rPr>
          <w:sz w:val="22"/>
          <w:szCs w:val="22"/>
        </w:rPr>
      </w:pPr>
      <w:r>
        <w:rPr>
          <w:sz w:val="22"/>
          <w:szCs w:val="22"/>
        </w:rPr>
        <w:tab/>
      </w:r>
      <w:r w:rsidR="009A64EB" w:rsidRPr="00EE5620">
        <w:rPr>
          <w:sz w:val="22"/>
          <w:szCs w:val="22"/>
        </w:rPr>
        <w:t xml:space="preserve">Nr. </w:t>
      </w:r>
      <w:r w:rsidR="00D63C04" w:rsidRPr="00EE5620">
        <w:rPr>
          <w:sz w:val="22"/>
          <w:szCs w:val="22"/>
        </w:rPr>
        <w:t xml:space="preserve">                 </w:t>
      </w:r>
      <w:r w:rsidR="009A64EB" w:rsidRPr="00EE5620">
        <w:rPr>
          <w:sz w:val="22"/>
          <w:szCs w:val="22"/>
        </w:rPr>
        <w:t>/</w:t>
      </w:r>
    </w:p>
    <w:p w:rsidR="00482ED6" w:rsidRDefault="00482ED6" w:rsidP="00D63C04">
      <w:pPr>
        <w:tabs>
          <w:tab w:val="left" w:pos="6474"/>
          <w:tab w:val="left" w:pos="7371"/>
        </w:tabs>
        <w:spacing w:after="120" w:line="240" w:lineRule="auto"/>
        <w:ind w:left="4962" w:right="283"/>
        <w:jc w:val="both"/>
        <w:rPr>
          <w:sz w:val="16"/>
          <w:szCs w:val="16"/>
        </w:rPr>
      </w:pPr>
    </w:p>
    <w:p w:rsidR="00061445" w:rsidRDefault="00061445" w:rsidP="00D63C04">
      <w:pPr>
        <w:tabs>
          <w:tab w:val="left" w:pos="6474"/>
          <w:tab w:val="left" w:pos="7371"/>
        </w:tabs>
        <w:spacing w:after="120" w:line="240" w:lineRule="auto"/>
        <w:ind w:left="4962" w:right="283"/>
        <w:jc w:val="both"/>
        <w:rPr>
          <w:sz w:val="16"/>
          <w:szCs w:val="16"/>
        </w:rPr>
      </w:pPr>
    </w:p>
    <w:p w:rsidR="00EE5620" w:rsidRPr="007C262A" w:rsidRDefault="00EE5620" w:rsidP="00D63C04">
      <w:pPr>
        <w:tabs>
          <w:tab w:val="left" w:pos="6474"/>
          <w:tab w:val="left" w:pos="7371"/>
        </w:tabs>
        <w:spacing w:after="120" w:line="240" w:lineRule="auto"/>
        <w:ind w:left="4962" w:right="283"/>
        <w:jc w:val="both"/>
        <w:rPr>
          <w:sz w:val="16"/>
          <w:szCs w:val="16"/>
        </w:rPr>
      </w:pPr>
    </w:p>
    <w:p w:rsidR="00D63C04" w:rsidRDefault="00F8052C" w:rsidP="00C22479">
      <w:pPr>
        <w:pStyle w:val="Subtitle"/>
        <w:tabs>
          <w:tab w:val="left" w:pos="1440"/>
        </w:tabs>
        <w:spacing w:after="120"/>
        <w:ind w:left="1134"/>
        <w:rPr>
          <w:rFonts w:ascii="Trebuchet MS" w:hAnsi="Trebuchet MS"/>
          <w:sz w:val="22"/>
          <w:szCs w:val="22"/>
        </w:rPr>
      </w:pPr>
      <w:r>
        <w:rPr>
          <w:rFonts w:ascii="Trebuchet MS" w:hAnsi="Trebuchet MS"/>
          <w:sz w:val="22"/>
          <w:szCs w:val="22"/>
        </w:rPr>
        <w:t xml:space="preserve">                                    </w:t>
      </w:r>
      <w:r w:rsidR="00D63C04" w:rsidRPr="00482ED6">
        <w:rPr>
          <w:rFonts w:ascii="Trebuchet MS" w:hAnsi="Trebuchet MS"/>
          <w:sz w:val="22"/>
          <w:szCs w:val="22"/>
        </w:rPr>
        <w:t>Referat de aprobare</w:t>
      </w:r>
    </w:p>
    <w:p w:rsidR="00046BE1" w:rsidRPr="00482ED6" w:rsidRDefault="00046BE1" w:rsidP="00C22479">
      <w:pPr>
        <w:pStyle w:val="Subtitle"/>
        <w:tabs>
          <w:tab w:val="left" w:pos="1440"/>
        </w:tabs>
        <w:spacing w:after="120"/>
        <w:ind w:left="1134"/>
        <w:rPr>
          <w:rFonts w:ascii="Trebuchet MS" w:hAnsi="Trebuchet MS"/>
          <w:sz w:val="22"/>
          <w:szCs w:val="22"/>
        </w:rPr>
      </w:pPr>
    </w:p>
    <w:p w:rsidR="004E7BC8" w:rsidRDefault="00D63C04" w:rsidP="007F7BC8">
      <w:pPr>
        <w:pStyle w:val="BodyText"/>
        <w:ind w:right="567"/>
        <w:jc w:val="center"/>
        <w:rPr>
          <w:iCs/>
          <w:sz w:val="22"/>
          <w:szCs w:val="22"/>
        </w:rPr>
      </w:pPr>
      <w:bookmarkStart w:id="0" w:name="_Hlk492375825"/>
      <w:bookmarkStart w:id="1" w:name="_Hlk487731238"/>
      <w:r w:rsidRPr="008C2371">
        <w:rPr>
          <w:iCs/>
          <w:sz w:val="22"/>
          <w:szCs w:val="22"/>
        </w:rPr>
        <w:t>a  Ordinului ministrului</w:t>
      </w:r>
      <w:r w:rsidR="00F8052C" w:rsidRPr="008C2371">
        <w:rPr>
          <w:iCs/>
          <w:sz w:val="22"/>
          <w:szCs w:val="22"/>
        </w:rPr>
        <w:t xml:space="preserve"> dezvoltării, </w:t>
      </w:r>
      <w:r w:rsidR="000D4EEB" w:rsidRPr="008C2371">
        <w:rPr>
          <w:iCs/>
          <w:sz w:val="22"/>
          <w:szCs w:val="22"/>
        </w:rPr>
        <w:t>lucrărilor publice</w:t>
      </w:r>
      <w:r w:rsidRPr="008C2371">
        <w:rPr>
          <w:iCs/>
          <w:sz w:val="22"/>
          <w:szCs w:val="22"/>
        </w:rPr>
        <w:t xml:space="preserve"> şi administraţiei</w:t>
      </w:r>
      <w:r w:rsidR="007F7BC8">
        <w:rPr>
          <w:iCs/>
          <w:sz w:val="22"/>
          <w:szCs w:val="22"/>
        </w:rPr>
        <w:t xml:space="preserve"> </w:t>
      </w:r>
      <w:r w:rsidR="00CC7F11" w:rsidRPr="00CC7F11">
        <w:rPr>
          <w:iCs/>
          <w:sz w:val="22"/>
          <w:szCs w:val="22"/>
        </w:rPr>
        <w:t>pentru aprobarea Normelor metodologice pentru punerea în aplicare a prevederilor Ordonanţei de urgenţă a Guvernului nr. 95/2021 pentru aprobarea Programului Național de Investiţii "Anghel Saligny", pentru categoriile de investiții de la art. 4 alin. (1) lit. a) – d) din Ordonanţa de urgenţă a Guvernului nr. 95/2021</w:t>
      </w:r>
    </w:p>
    <w:p w:rsidR="004E7BC8" w:rsidRDefault="004E7BC8" w:rsidP="007F7BC8">
      <w:pPr>
        <w:pStyle w:val="BodyText"/>
        <w:ind w:right="567"/>
        <w:jc w:val="center"/>
        <w:rPr>
          <w:iCs/>
          <w:sz w:val="22"/>
          <w:szCs w:val="22"/>
        </w:rPr>
      </w:pPr>
    </w:p>
    <w:p w:rsidR="004E7BC8" w:rsidRDefault="00CC7F11" w:rsidP="00CC7F11">
      <w:pPr>
        <w:pStyle w:val="BodyText"/>
        <w:ind w:right="567"/>
        <w:jc w:val="both"/>
        <w:rPr>
          <w:iCs/>
          <w:sz w:val="22"/>
          <w:szCs w:val="22"/>
        </w:rPr>
      </w:pPr>
      <w:r>
        <w:rPr>
          <w:iCs/>
          <w:sz w:val="22"/>
          <w:szCs w:val="22"/>
        </w:rPr>
        <w:t xml:space="preserve">Conform prevederilor art. 16 alin. (1) </w:t>
      </w:r>
      <w:r w:rsidRPr="00CC7F11">
        <w:rPr>
          <w:iCs/>
          <w:sz w:val="22"/>
          <w:szCs w:val="22"/>
        </w:rPr>
        <w:t>din Ordonanţ</w:t>
      </w:r>
      <w:r>
        <w:rPr>
          <w:iCs/>
          <w:sz w:val="22"/>
          <w:szCs w:val="22"/>
        </w:rPr>
        <w:t>a de urgenţă a Guvernului nr. 95/2021</w:t>
      </w:r>
      <w:r w:rsidRPr="00CC7F11">
        <w:rPr>
          <w:iCs/>
          <w:sz w:val="22"/>
          <w:szCs w:val="22"/>
        </w:rPr>
        <w:t xml:space="preserve"> </w:t>
      </w:r>
      <w:r w:rsidRPr="007F7BC8">
        <w:rPr>
          <w:iCs/>
          <w:sz w:val="22"/>
          <w:szCs w:val="22"/>
        </w:rPr>
        <w:t>pentru aprobarea Programului naţional de investiţii "Anghel Saligny"</w:t>
      </w:r>
      <w:r w:rsidRPr="00CC7F11">
        <w:rPr>
          <w:iCs/>
          <w:sz w:val="22"/>
          <w:szCs w:val="22"/>
        </w:rPr>
        <w:t>, publicată în Monitorul Oficia</w:t>
      </w:r>
      <w:r>
        <w:rPr>
          <w:iCs/>
          <w:sz w:val="22"/>
          <w:szCs w:val="22"/>
        </w:rPr>
        <w:t>l al României, Partea I nr. 849/2021</w:t>
      </w:r>
      <w:r w:rsidRPr="00CC7F11">
        <w:rPr>
          <w:iCs/>
          <w:sz w:val="22"/>
          <w:szCs w:val="22"/>
        </w:rPr>
        <w:t xml:space="preserve">, </w:t>
      </w:r>
      <w:r>
        <w:rPr>
          <w:iCs/>
          <w:sz w:val="22"/>
          <w:szCs w:val="22"/>
        </w:rPr>
        <w:t xml:space="preserve">denumită în continuare ordonanța de urgență, </w:t>
      </w:r>
      <w:r w:rsidRPr="00CC7F11">
        <w:rPr>
          <w:iCs/>
          <w:sz w:val="22"/>
          <w:szCs w:val="22"/>
        </w:rPr>
        <w:t>normele metodologice de aplicare a Programului</w:t>
      </w:r>
      <w:r>
        <w:rPr>
          <w:iCs/>
          <w:sz w:val="22"/>
          <w:szCs w:val="22"/>
        </w:rPr>
        <w:t xml:space="preserve"> </w:t>
      </w:r>
      <w:r w:rsidRPr="00CC7F11">
        <w:rPr>
          <w:iCs/>
          <w:sz w:val="22"/>
          <w:szCs w:val="22"/>
        </w:rPr>
        <w:t xml:space="preserve">pentru categoriile de investiții de la art. 4 alin. (1) lit. a) – d) din </w:t>
      </w:r>
      <w:r>
        <w:rPr>
          <w:iCs/>
          <w:sz w:val="22"/>
          <w:szCs w:val="22"/>
        </w:rPr>
        <w:t>ordonanța de urgență,</w:t>
      </w:r>
      <w:r w:rsidRPr="00CC7F11">
        <w:rPr>
          <w:iCs/>
          <w:sz w:val="22"/>
          <w:szCs w:val="22"/>
        </w:rPr>
        <w:t xml:space="preserve"> se aprobă prin ordin al ministrului dezvoltării</w:t>
      </w:r>
      <w:r>
        <w:rPr>
          <w:iCs/>
          <w:sz w:val="22"/>
          <w:szCs w:val="22"/>
        </w:rPr>
        <w:t>, lucrărilor publice</w:t>
      </w:r>
      <w:r w:rsidRPr="00CC7F11">
        <w:rPr>
          <w:iCs/>
          <w:sz w:val="22"/>
          <w:szCs w:val="22"/>
        </w:rPr>
        <w:t xml:space="preserve"> şi administraţiei.</w:t>
      </w:r>
      <w:r w:rsidR="006F35AF">
        <w:rPr>
          <w:iCs/>
          <w:sz w:val="22"/>
          <w:szCs w:val="22"/>
        </w:rPr>
        <w:t xml:space="preserve"> Iar pentru obiectivele de investiții prevăzute la art. 4 alin. (1) lit. e) din ordonanța de urgență, normele metodologice se vor aproba prin ordin comun al ministrului dezvoltării, lucrărilor publice și administrației și al ministrului energiei, în termen de 30 de zile de la data intrării în vigoare a ordonanței de urgență. </w:t>
      </w:r>
    </w:p>
    <w:p w:rsidR="00881946" w:rsidRDefault="00881946" w:rsidP="00881946">
      <w:pPr>
        <w:pStyle w:val="BodyText"/>
        <w:ind w:right="567"/>
        <w:jc w:val="both"/>
        <w:rPr>
          <w:iCs/>
          <w:sz w:val="22"/>
          <w:szCs w:val="22"/>
        </w:rPr>
      </w:pPr>
      <w:r w:rsidRPr="00881946">
        <w:rPr>
          <w:iCs/>
          <w:sz w:val="22"/>
          <w:szCs w:val="22"/>
        </w:rPr>
        <w:t xml:space="preserve">Programul </w:t>
      </w:r>
      <w:r w:rsidRPr="00CC7F11">
        <w:rPr>
          <w:iCs/>
          <w:sz w:val="22"/>
          <w:szCs w:val="22"/>
        </w:rPr>
        <w:t>Național de Investiţii "Anghel Saligny"</w:t>
      </w:r>
      <w:r w:rsidRPr="00881946">
        <w:rPr>
          <w:iCs/>
          <w:sz w:val="22"/>
          <w:szCs w:val="22"/>
        </w:rPr>
        <w:t>, denumit în continuare Program</w:t>
      </w:r>
      <w:r w:rsidR="00CC15EE">
        <w:rPr>
          <w:iCs/>
          <w:sz w:val="22"/>
          <w:szCs w:val="22"/>
        </w:rPr>
        <w:t>,</w:t>
      </w:r>
      <w:r w:rsidRPr="00881946">
        <w:rPr>
          <w:iCs/>
          <w:sz w:val="22"/>
          <w:szCs w:val="22"/>
        </w:rPr>
        <w:t xml:space="preserve"> </w:t>
      </w:r>
      <w:r w:rsidR="000C60CF" w:rsidRPr="000C60CF">
        <w:rPr>
          <w:iCs/>
          <w:sz w:val="22"/>
          <w:szCs w:val="22"/>
        </w:rPr>
        <w:t>este un program multianual,</w:t>
      </w:r>
      <w:r w:rsidR="00017C2A">
        <w:rPr>
          <w:iCs/>
          <w:sz w:val="22"/>
          <w:szCs w:val="22"/>
        </w:rPr>
        <w:t xml:space="preserve"> finanțat de la bugetul de stat. Programul este </w:t>
      </w:r>
      <w:r w:rsidR="00017C2A" w:rsidRPr="00881946">
        <w:rPr>
          <w:iCs/>
          <w:sz w:val="22"/>
          <w:szCs w:val="22"/>
        </w:rPr>
        <w:t xml:space="preserve"> coordonat de Ministerul Dezvoltării</w:t>
      </w:r>
      <w:r w:rsidR="00017C2A">
        <w:rPr>
          <w:iCs/>
          <w:sz w:val="22"/>
          <w:szCs w:val="22"/>
        </w:rPr>
        <w:t xml:space="preserve">, Lucrărilor Publice și Administraţiei, </w:t>
      </w:r>
      <w:r w:rsidR="000C60CF">
        <w:rPr>
          <w:iCs/>
          <w:sz w:val="22"/>
          <w:szCs w:val="22"/>
        </w:rPr>
        <w:t>având</w:t>
      </w:r>
      <w:r w:rsidR="000C60CF" w:rsidRPr="000C60CF">
        <w:rPr>
          <w:iCs/>
          <w:sz w:val="22"/>
          <w:szCs w:val="22"/>
        </w:rPr>
        <w:t xml:space="preserve"> ca obiectiv general creșterea coeziunii teritoriale prin echiparea unităților administrativ</w:t>
      </w:r>
      <w:r w:rsidR="00017C2A">
        <w:rPr>
          <w:iCs/>
          <w:sz w:val="22"/>
          <w:szCs w:val="22"/>
        </w:rPr>
        <w:t xml:space="preserve"> </w:t>
      </w:r>
      <w:r w:rsidR="000C60CF" w:rsidRPr="000C60CF">
        <w:rPr>
          <w:iCs/>
          <w:sz w:val="22"/>
          <w:szCs w:val="22"/>
        </w:rPr>
        <w:t>-</w:t>
      </w:r>
      <w:r w:rsidR="00017C2A">
        <w:rPr>
          <w:iCs/>
          <w:sz w:val="22"/>
          <w:szCs w:val="22"/>
        </w:rPr>
        <w:t xml:space="preserve"> </w:t>
      </w:r>
      <w:r w:rsidR="000C60CF" w:rsidRPr="000C60CF">
        <w:rPr>
          <w:iCs/>
          <w:sz w:val="22"/>
          <w:szCs w:val="22"/>
        </w:rPr>
        <w:t>teritoriale cu dotări</w:t>
      </w:r>
      <w:r w:rsidR="00017C2A">
        <w:rPr>
          <w:iCs/>
          <w:sz w:val="22"/>
          <w:szCs w:val="22"/>
        </w:rPr>
        <w:t xml:space="preserve"> </w:t>
      </w:r>
      <w:bookmarkStart w:id="2" w:name="_GoBack"/>
      <w:bookmarkEnd w:id="2"/>
      <w:proofErr w:type="spellStart"/>
      <w:r w:rsidR="000C60CF" w:rsidRPr="000C60CF">
        <w:rPr>
          <w:iCs/>
          <w:sz w:val="22"/>
          <w:szCs w:val="22"/>
        </w:rPr>
        <w:t>tehnico</w:t>
      </w:r>
      <w:proofErr w:type="spellEnd"/>
      <w:r w:rsidR="000C60CF" w:rsidRPr="000C60CF">
        <w:rPr>
          <w:iCs/>
          <w:sz w:val="22"/>
          <w:szCs w:val="22"/>
        </w:rPr>
        <w:t>-edilitare și de acces la căile de comunicație, îmbunătățirea atât a condițiilor de viață cât și a standardelor de  muncă pentru toți locuitorii României.</w:t>
      </w:r>
      <w:r w:rsidR="000C60CF">
        <w:rPr>
          <w:iCs/>
          <w:sz w:val="22"/>
          <w:szCs w:val="22"/>
        </w:rPr>
        <w:t xml:space="preserve"> </w:t>
      </w:r>
      <w:r w:rsidRPr="00881946">
        <w:rPr>
          <w:iCs/>
          <w:sz w:val="22"/>
          <w:szCs w:val="22"/>
        </w:rPr>
        <w:t xml:space="preserve">Valoarea </w:t>
      </w:r>
      <w:r>
        <w:rPr>
          <w:iCs/>
          <w:sz w:val="22"/>
          <w:szCs w:val="22"/>
        </w:rPr>
        <w:t>P</w:t>
      </w:r>
      <w:r w:rsidRPr="00881946">
        <w:rPr>
          <w:iCs/>
          <w:sz w:val="22"/>
          <w:szCs w:val="22"/>
        </w:rPr>
        <w:t>rogramului este de 50.000.000 mii lei, limită maximă în baza căreia se pot încheia contracte de finanţare multianuale</w:t>
      </w:r>
      <w:r>
        <w:rPr>
          <w:iCs/>
          <w:sz w:val="22"/>
          <w:szCs w:val="22"/>
        </w:rPr>
        <w:t xml:space="preserve">, </w:t>
      </w:r>
      <w:r w:rsidRPr="00881946">
        <w:rPr>
          <w:iCs/>
          <w:sz w:val="22"/>
          <w:szCs w:val="22"/>
        </w:rPr>
        <w:t>în perioada 2021-2028</w:t>
      </w:r>
      <w:r>
        <w:rPr>
          <w:iCs/>
          <w:sz w:val="22"/>
          <w:szCs w:val="22"/>
        </w:rPr>
        <w:t>.</w:t>
      </w:r>
    </w:p>
    <w:p w:rsidR="00017C2A" w:rsidRPr="00017C2A" w:rsidRDefault="00017C2A" w:rsidP="00017C2A">
      <w:pPr>
        <w:pStyle w:val="BodyText"/>
        <w:ind w:right="567"/>
        <w:jc w:val="both"/>
        <w:rPr>
          <w:iCs/>
          <w:sz w:val="22"/>
          <w:szCs w:val="22"/>
        </w:rPr>
      </w:pPr>
      <w:r>
        <w:rPr>
          <w:iCs/>
          <w:sz w:val="22"/>
          <w:szCs w:val="22"/>
        </w:rPr>
        <w:t xml:space="preserve">Conform prevederilor art. 4 alin. (1) </w:t>
      </w:r>
      <w:r w:rsidR="00241C54">
        <w:rPr>
          <w:iCs/>
          <w:sz w:val="22"/>
          <w:szCs w:val="22"/>
        </w:rPr>
        <w:t xml:space="preserve">lit. a) – d) </w:t>
      </w:r>
      <w:r>
        <w:rPr>
          <w:iCs/>
          <w:sz w:val="22"/>
          <w:szCs w:val="22"/>
        </w:rPr>
        <w:t>din ordonanța de urgență, în cadrul P</w:t>
      </w:r>
      <w:r w:rsidRPr="00017C2A">
        <w:rPr>
          <w:iCs/>
          <w:sz w:val="22"/>
          <w:szCs w:val="22"/>
        </w:rPr>
        <w:t>rogramului se pot realiza obiective de investiţii care constau în realizarea de construcţii noi sau de lucrări de construire, reconstruire, consolidare, reparaţie, modernizare, modificare, extindere, reabilitare, după caz, schimbare de destinaţie, protejare, restaurare, conservare la construcţii existente şi care se încadrează în cel puţin una dintre următoarele categorii de investiţii:</w:t>
      </w:r>
    </w:p>
    <w:p w:rsidR="00017C2A" w:rsidRPr="00017C2A" w:rsidRDefault="00017C2A" w:rsidP="00017C2A">
      <w:pPr>
        <w:pStyle w:val="BodyText"/>
        <w:ind w:right="567"/>
        <w:jc w:val="both"/>
        <w:rPr>
          <w:iCs/>
          <w:sz w:val="22"/>
          <w:szCs w:val="22"/>
        </w:rPr>
      </w:pPr>
      <w:r w:rsidRPr="00017C2A">
        <w:rPr>
          <w:iCs/>
          <w:sz w:val="22"/>
          <w:szCs w:val="22"/>
        </w:rPr>
        <w:t>  a) alimentări cu apă şi staţii de tratare a apei;</w:t>
      </w:r>
    </w:p>
    <w:p w:rsidR="00017C2A" w:rsidRPr="00017C2A" w:rsidRDefault="00017C2A" w:rsidP="00017C2A">
      <w:pPr>
        <w:pStyle w:val="BodyText"/>
        <w:ind w:right="567"/>
        <w:jc w:val="both"/>
        <w:rPr>
          <w:iCs/>
          <w:sz w:val="22"/>
          <w:szCs w:val="22"/>
        </w:rPr>
      </w:pPr>
      <w:r w:rsidRPr="00017C2A">
        <w:rPr>
          <w:iCs/>
          <w:sz w:val="22"/>
          <w:szCs w:val="22"/>
        </w:rPr>
        <w:t>  b) sisteme de canalizare şi staţii de epurare a apelor uzate, inclusiv canalizare pluvială şi sisteme de captare a apelor pluviale;</w:t>
      </w:r>
    </w:p>
    <w:p w:rsidR="00017C2A" w:rsidRPr="00017C2A" w:rsidRDefault="00017C2A" w:rsidP="00017C2A">
      <w:pPr>
        <w:pStyle w:val="BodyText"/>
        <w:ind w:right="567"/>
        <w:jc w:val="both"/>
        <w:rPr>
          <w:iCs/>
          <w:sz w:val="22"/>
          <w:szCs w:val="22"/>
        </w:rPr>
      </w:pPr>
      <w:r w:rsidRPr="00017C2A">
        <w:rPr>
          <w:iCs/>
          <w:sz w:val="22"/>
          <w:szCs w:val="22"/>
        </w:rPr>
        <w:t>  c) drumurile publice clasificate şi încadrate în conformitate cu prevederile legale în vigoare ca drumuri judeţene, drumuri de interes local, respectiv drumuri comunale şi/sau drumuri publice din interiorul localităţilor, precum şi variante ocolitoare ale localităţilor;</w:t>
      </w:r>
    </w:p>
    <w:p w:rsidR="00017C2A" w:rsidRDefault="00017C2A" w:rsidP="00017C2A">
      <w:pPr>
        <w:pStyle w:val="BodyText"/>
        <w:ind w:right="567"/>
        <w:jc w:val="both"/>
        <w:rPr>
          <w:iCs/>
          <w:sz w:val="22"/>
          <w:szCs w:val="22"/>
        </w:rPr>
      </w:pPr>
      <w:r w:rsidRPr="00017C2A">
        <w:rPr>
          <w:iCs/>
          <w:sz w:val="22"/>
          <w:szCs w:val="22"/>
        </w:rPr>
        <w:lastRenderedPageBreak/>
        <w:t>  d) poduri, podeţe, pasaje sau punţi pietonale, inclusiv pentru biciclete şi trotinete electrice;</w:t>
      </w:r>
    </w:p>
    <w:p w:rsidR="00017C2A" w:rsidRDefault="000C60CF" w:rsidP="00881946">
      <w:pPr>
        <w:pStyle w:val="BodyText"/>
        <w:ind w:right="567"/>
        <w:jc w:val="both"/>
        <w:rPr>
          <w:bCs/>
          <w:iCs/>
          <w:sz w:val="22"/>
          <w:szCs w:val="22"/>
        </w:rPr>
      </w:pPr>
      <w:r>
        <w:rPr>
          <w:bCs/>
          <w:iCs/>
          <w:sz w:val="22"/>
          <w:szCs w:val="22"/>
        </w:rPr>
        <w:t>B</w:t>
      </w:r>
      <w:r w:rsidRPr="000C60CF">
        <w:rPr>
          <w:bCs/>
          <w:iCs/>
          <w:sz w:val="22"/>
          <w:szCs w:val="22"/>
        </w:rPr>
        <w:t>eneficiarii Programului sunt unitățile administrativ-teritoriale prevăzute la art. 95 din Ordonanţa de urgenţă a Guvernului nr. 57/2019 privind Codul Administrativ, cu modificările și completările ulterioare, respectiv comune, orașe/municipii, județe, subdiviziunile administrativ-teritoriale ale municipiilor, constituite în conformitate cu prevederile art. 100 din Ordonanţa de urgenţă a Guvernului nr. 57/2019, cu modificările și completările ulterioare, precum și asociațiile de dezvoltare intercomunitară, constituite conform art. 89 din Ordonanța de urgență a Guvernului nr. 57/2019, cu modificările și completările ulterioare</w:t>
      </w:r>
      <w:r w:rsidR="00017C2A">
        <w:rPr>
          <w:bCs/>
          <w:iCs/>
          <w:sz w:val="22"/>
          <w:szCs w:val="22"/>
        </w:rPr>
        <w:t>,</w:t>
      </w:r>
      <w:r w:rsidRPr="000C60CF">
        <w:rPr>
          <w:bCs/>
          <w:iCs/>
          <w:sz w:val="22"/>
          <w:szCs w:val="22"/>
        </w:rPr>
        <w:t xml:space="preserve"> pentru investiţiile realizate prin asociaţiile de dezvoltare intercomunitară.</w:t>
      </w:r>
      <w:r>
        <w:rPr>
          <w:bCs/>
          <w:iCs/>
          <w:sz w:val="22"/>
          <w:szCs w:val="22"/>
        </w:rPr>
        <w:t xml:space="preserve"> </w:t>
      </w:r>
    </w:p>
    <w:p w:rsidR="008D4EEA" w:rsidRDefault="00881946" w:rsidP="008D4EEA">
      <w:pPr>
        <w:pStyle w:val="BodyText"/>
        <w:ind w:right="567"/>
        <w:jc w:val="both"/>
        <w:rPr>
          <w:bCs/>
          <w:iCs/>
          <w:sz w:val="22"/>
          <w:szCs w:val="22"/>
        </w:rPr>
      </w:pPr>
      <w:r w:rsidRPr="00881946">
        <w:rPr>
          <w:bCs/>
          <w:iCs/>
          <w:sz w:val="22"/>
          <w:szCs w:val="22"/>
        </w:rPr>
        <w:t>Obiectivele de investiţi</w:t>
      </w:r>
      <w:r w:rsidR="008D4EEA">
        <w:rPr>
          <w:bCs/>
          <w:iCs/>
          <w:sz w:val="22"/>
          <w:szCs w:val="22"/>
        </w:rPr>
        <w:t>i care se realizează în cadrul P</w:t>
      </w:r>
      <w:r w:rsidRPr="00881946">
        <w:rPr>
          <w:bCs/>
          <w:iCs/>
          <w:sz w:val="22"/>
          <w:szCs w:val="22"/>
        </w:rPr>
        <w:t>rogramului trebuie să fie amplasate pe terenuri şi/sau construcţii, după caz, aflate în proprietatea publică sau privată a unităţilor administrativ-teritoriale sau în administrarea autorităţilor administraţiei publice locale, cu respectarea</w:t>
      </w:r>
      <w:r w:rsidR="008D4EEA">
        <w:rPr>
          <w:bCs/>
          <w:iCs/>
          <w:sz w:val="22"/>
          <w:szCs w:val="22"/>
        </w:rPr>
        <w:t xml:space="preserve"> prevederilor legale în vigoare. Iar, î</w:t>
      </w:r>
      <w:r w:rsidR="008D4EEA" w:rsidRPr="008D4EEA">
        <w:rPr>
          <w:bCs/>
          <w:iCs/>
          <w:sz w:val="22"/>
          <w:szCs w:val="22"/>
        </w:rPr>
        <w:t>n sensul prevederilor art. 4 alin. (5) din ordonanța de urgență, tipurile de obiective de investiții care se</w:t>
      </w:r>
      <w:r w:rsidR="008D4EEA">
        <w:rPr>
          <w:bCs/>
          <w:iCs/>
          <w:sz w:val="22"/>
          <w:szCs w:val="22"/>
        </w:rPr>
        <w:t xml:space="preserve"> finanțează prin Program sunt </w:t>
      </w:r>
      <w:r w:rsidR="008D4EEA" w:rsidRPr="008D4EEA">
        <w:rPr>
          <w:bCs/>
          <w:iCs/>
          <w:sz w:val="22"/>
          <w:szCs w:val="22"/>
        </w:rPr>
        <w:t>obiective de investiții noi</w:t>
      </w:r>
      <w:r w:rsidR="008D4EEA">
        <w:rPr>
          <w:bCs/>
          <w:iCs/>
          <w:sz w:val="22"/>
          <w:szCs w:val="22"/>
        </w:rPr>
        <w:t xml:space="preserve">, care </w:t>
      </w:r>
      <w:r w:rsidR="008D4EEA" w:rsidRPr="008D4EEA">
        <w:rPr>
          <w:bCs/>
          <w:iCs/>
          <w:sz w:val="22"/>
          <w:szCs w:val="22"/>
        </w:rPr>
        <w:t>reprezintă acele obiective de investiții care, la momentul depunerii cererii de fina</w:t>
      </w:r>
      <w:r w:rsidR="008D4EEA">
        <w:rPr>
          <w:bCs/>
          <w:iCs/>
          <w:sz w:val="22"/>
          <w:szCs w:val="22"/>
        </w:rPr>
        <w:t xml:space="preserve">nțare, nu au execuție bugetară, și </w:t>
      </w:r>
      <w:r w:rsidR="008D4EEA" w:rsidRPr="008D4EEA">
        <w:rPr>
          <w:bCs/>
          <w:iCs/>
          <w:sz w:val="22"/>
          <w:szCs w:val="22"/>
        </w:rPr>
        <w:t xml:space="preserve">obiective de investiții în continuare, </w:t>
      </w:r>
      <w:r w:rsidR="008D4EEA">
        <w:rPr>
          <w:bCs/>
          <w:iCs/>
          <w:sz w:val="22"/>
          <w:szCs w:val="22"/>
        </w:rPr>
        <w:t xml:space="preserve">care </w:t>
      </w:r>
      <w:r w:rsidR="008D4EEA" w:rsidRPr="008D4EEA">
        <w:rPr>
          <w:bCs/>
          <w:iCs/>
          <w:sz w:val="22"/>
          <w:szCs w:val="22"/>
        </w:rPr>
        <w:t>reprezintă acele obiective de investiții care, la momentul depunerii cererii de finanțare, au execuție bugetară.</w:t>
      </w:r>
    </w:p>
    <w:p w:rsidR="0074464F" w:rsidRDefault="0074464F" w:rsidP="00881946">
      <w:pPr>
        <w:pStyle w:val="BodyText"/>
        <w:ind w:right="567"/>
        <w:jc w:val="both"/>
        <w:rPr>
          <w:bCs/>
          <w:iCs/>
          <w:sz w:val="22"/>
          <w:szCs w:val="22"/>
        </w:rPr>
      </w:pPr>
      <w:r w:rsidRPr="0074464F">
        <w:rPr>
          <w:bCs/>
          <w:iCs/>
          <w:sz w:val="22"/>
          <w:szCs w:val="22"/>
        </w:rPr>
        <w:t>Prin normele metodologice de aplicare a Programului</w:t>
      </w:r>
      <w:r>
        <w:rPr>
          <w:bCs/>
          <w:iCs/>
          <w:sz w:val="22"/>
          <w:szCs w:val="22"/>
        </w:rPr>
        <w:t xml:space="preserve"> sunt stabilite </w:t>
      </w:r>
      <w:r w:rsidRPr="0074464F">
        <w:rPr>
          <w:bCs/>
          <w:iCs/>
          <w:sz w:val="22"/>
          <w:szCs w:val="22"/>
        </w:rPr>
        <w:t>categoriile de lucrări şi cheltuielile care se finanţează în cadrul f</w:t>
      </w:r>
      <w:r w:rsidR="008D4EEA">
        <w:rPr>
          <w:bCs/>
          <w:iCs/>
          <w:sz w:val="22"/>
          <w:szCs w:val="22"/>
        </w:rPr>
        <w:t>iecărei categorii de investiţii:</w:t>
      </w:r>
    </w:p>
    <w:p w:rsidR="008D4EEA" w:rsidRPr="008D4EEA" w:rsidRDefault="008D4EEA" w:rsidP="008D4EEA">
      <w:pPr>
        <w:pStyle w:val="BodyText"/>
        <w:ind w:right="567" w:firstLine="720"/>
        <w:jc w:val="both"/>
        <w:rPr>
          <w:bCs/>
          <w:iCs/>
          <w:sz w:val="22"/>
          <w:szCs w:val="22"/>
        </w:rPr>
      </w:pPr>
      <w:r>
        <w:rPr>
          <w:bCs/>
          <w:iCs/>
          <w:sz w:val="22"/>
          <w:szCs w:val="22"/>
        </w:rPr>
        <w:t>- p</w:t>
      </w:r>
      <w:r w:rsidRPr="008D4EEA">
        <w:rPr>
          <w:bCs/>
          <w:iCs/>
          <w:sz w:val="22"/>
          <w:szCs w:val="22"/>
        </w:rPr>
        <w:t>entru categoria de investiții prevăzută la art. 4 alin. (1) lit. a) din ordonanța de urgență se pot finanța prin Program toate categoriile de lucrări necesare pentru construirea sistemului centralizat de alimentare cu apă, a stațiilor de tratare a apei, a componentelor acestora, a branşamentelor până la limita de proprietate, și a lucrărilor de intervenții la acestea, prevăzute la art. 4 alin. (1) din ordonanța de urgență, cu excepția lucrărilor de întreținere și repar</w:t>
      </w:r>
      <w:r w:rsidR="00121B15">
        <w:rPr>
          <w:bCs/>
          <w:iCs/>
          <w:sz w:val="22"/>
          <w:szCs w:val="22"/>
        </w:rPr>
        <w:t>ații curente;</w:t>
      </w:r>
    </w:p>
    <w:p w:rsidR="008D4EEA" w:rsidRPr="008D4EEA" w:rsidRDefault="008D4EEA" w:rsidP="008D4EEA">
      <w:pPr>
        <w:pStyle w:val="BodyText"/>
        <w:ind w:right="567" w:firstLine="720"/>
        <w:jc w:val="both"/>
        <w:rPr>
          <w:bCs/>
          <w:iCs/>
          <w:sz w:val="22"/>
          <w:szCs w:val="22"/>
        </w:rPr>
      </w:pPr>
      <w:r>
        <w:rPr>
          <w:bCs/>
          <w:iCs/>
          <w:sz w:val="22"/>
          <w:szCs w:val="22"/>
        </w:rPr>
        <w:t>-</w:t>
      </w:r>
      <w:r w:rsidRPr="008D4EEA">
        <w:rPr>
          <w:bCs/>
          <w:iCs/>
          <w:sz w:val="22"/>
          <w:szCs w:val="22"/>
        </w:rPr>
        <w:t xml:space="preserve"> </w:t>
      </w:r>
      <w:r>
        <w:rPr>
          <w:bCs/>
          <w:iCs/>
          <w:sz w:val="22"/>
          <w:szCs w:val="22"/>
        </w:rPr>
        <w:t>p</w:t>
      </w:r>
      <w:r w:rsidRPr="008D4EEA">
        <w:rPr>
          <w:bCs/>
          <w:iCs/>
          <w:sz w:val="22"/>
          <w:szCs w:val="22"/>
        </w:rPr>
        <w:t>entru categoria de investiții prevăzută la art. 4 alin. (1) lit. b) din ordonanța de urgență se pot finanța prin Program toate categoriile de lucrări necesare pentru construirea sistemului de canalizare, a stațiilor de epurare a apelor uzate menajere și/sau pluviale, a componentelor acestora, inclusiv a sistemelor de captare a apelor pluviale, a racordurilor până la limita de proprietate, după caz, precum și lucrările de intervenție la acestea, prevăzute la art. 4 alin. (1) din ordonanța de urgență, cu excepția lucrărilor de î</w:t>
      </w:r>
      <w:r w:rsidR="00121B15">
        <w:rPr>
          <w:bCs/>
          <w:iCs/>
          <w:sz w:val="22"/>
          <w:szCs w:val="22"/>
        </w:rPr>
        <w:t>ntreținere și reparații curente;</w:t>
      </w:r>
    </w:p>
    <w:p w:rsidR="008D4EEA" w:rsidRPr="008D4EEA" w:rsidRDefault="008D4EEA" w:rsidP="008D4EEA">
      <w:pPr>
        <w:pStyle w:val="BodyText"/>
        <w:ind w:right="567" w:firstLine="720"/>
        <w:jc w:val="both"/>
        <w:rPr>
          <w:bCs/>
          <w:iCs/>
          <w:sz w:val="22"/>
          <w:szCs w:val="22"/>
        </w:rPr>
      </w:pPr>
      <w:r>
        <w:rPr>
          <w:bCs/>
          <w:iCs/>
          <w:sz w:val="22"/>
          <w:szCs w:val="22"/>
        </w:rPr>
        <w:t>- p</w:t>
      </w:r>
      <w:r w:rsidRPr="008D4EEA">
        <w:rPr>
          <w:bCs/>
          <w:iCs/>
          <w:sz w:val="22"/>
          <w:szCs w:val="22"/>
        </w:rPr>
        <w:t>entru categoria de investiții prevăzută la art. 4 alin. (1) lit. c) din ordonanța de urgență se pot finanța prin Program toate lucrările necesare pentru construirea de infrastructură rutieră, precum și lucrările de intervenție la infrastructura existentă, prevăzute la art. 4 alin. (1) din ordonanța de urgență, cu excepția lucrărilor de î</w:t>
      </w:r>
      <w:r w:rsidR="00121B15">
        <w:rPr>
          <w:bCs/>
          <w:iCs/>
          <w:sz w:val="22"/>
          <w:szCs w:val="22"/>
        </w:rPr>
        <w:t>ntreținere și reparații curente;</w:t>
      </w:r>
    </w:p>
    <w:p w:rsidR="008D4EEA" w:rsidRDefault="008D4EEA" w:rsidP="008D4EEA">
      <w:pPr>
        <w:pStyle w:val="BodyText"/>
        <w:ind w:right="567" w:firstLine="720"/>
        <w:jc w:val="both"/>
        <w:rPr>
          <w:bCs/>
          <w:iCs/>
          <w:sz w:val="22"/>
          <w:szCs w:val="22"/>
        </w:rPr>
      </w:pPr>
      <w:r>
        <w:rPr>
          <w:bCs/>
          <w:iCs/>
          <w:sz w:val="22"/>
          <w:szCs w:val="22"/>
        </w:rPr>
        <w:t>- p</w:t>
      </w:r>
      <w:r w:rsidRPr="008D4EEA">
        <w:rPr>
          <w:bCs/>
          <w:iCs/>
          <w:sz w:val="22"/>
          <w:szCs w:val="22"/>
        </w:rPr>
        <w:t>entru categoria de investiții prevăzută la art. 4 alin. (1) lit. d) din ordonanța de urgență se pot finanța prin Program toate lucrările necesare pentru construirea de poduri, podeţe, pasaje, punţi pietonale, inclusiv pentru biciclete şi trotinete electrice, precum și lucrările de intervenție la acestea, prevăzute la art. 4 alin. (1) din ordonanța de urgență, cu excepția lucrărilor de î</w:t>
      </w:r>
      <w:r w:rsidR="00121B15">
        <w:rPr>
          <w:bCs/>
          <w:iCs/>
          <w:sz w:val="22"/>
          <w:szCs w:val="22"/>
        </w:rPr>
        <w:t>ntreținere și reparații curente.</w:t>
      </w:r>
    </w:p>
    <w:p w:rsidR="00121B15" w:rsidRDefault="00121B15" w:rsidP="00121B15">
      <w:pPr>
        <w:pStyle w:val="BodyText"/>
        <w:ind w:right="567"/>
        <w:jc w:val="both"/>
        <w:rPr>
          <w:bCs/>
          <w:iCs/>
          <w:sz w:val="22"/>
          <w:szCs w:val="22"/>
        </w:rPr>
      </w:pPr>
      <w:r w:rsidRPr="00121B15">
        <w:rPr>
          <w:bCs/>
          <w:iCs/>
          <w:sz w:val="22"/>
          <w:szCs w:val="22"/>
        </w:rPr>
        <w:t xml:space="preserve">În vederea derulării Programului, Ministerul Dezvoltării, Lucrărilor Publice și Administrației pune la dispoziție beneficiarilor platforma digitală „investitii.mdlpa.ro”. Ministerul Dezvoltării, Lucrărilor Publice și Administrației creează conturi individuale pe </w:t>
      </w:r>
      <w:r>
        <w:rPr>
          <w:bCs/>
          <w:iCs/>
          <w:sz w:val="22"/>
          <w:szCs w:val="22"/>
        </w:rPr>
        <w:t xml:space="preserve">această </w:t>
      </w:r>
      <w:r>
        <w:rPr>
          <w:bCs/>
          <w:iCs/>
          <w:sz w:val="22"/>
          <w:szCs w:val="22"/>
        </w:rPr>
        <w:lastRenderedPageBreak/>
        <w:t>platformă</w:t>
      </w:r>
      <w:r w:rsidRPr="00121B15">
        <w:rPr>
          <w:bCs/>
          <w:iCs/>
          <w:sz w:val="22"/>
          <w:szCs w:val="22"/>
        </w:rPr>
        <w:t xml:space="preserve"> pentru unitățile administrativ-teritoriale și pentru subdiviziunile administrativ-teritoriale ale municipiului București. </w:t>
      </w:r>
    </w:p>
    <w:p w:rsidR="00121B15" w:rsidRPr="00121B15" w:rsidRDefault="00DD4B83" w:rsidP="00121B15">
      <w:pPr>
        <w:pStyle w:val="BodyText"/>
        <w:ind w:right="567"/>
        <w:jc w:val="both"/>
        <w:rPr>
          <w:bCs/>
          <w:iCs/>
          <w:sz w:val="22"/>
          <w:szCs w:val="22"/>
        </w:rPr>
      </w:pPr>
      <w:r w:rsidRPr="00DD4B83">
        <w:rPr>
          <w:bCs/>
          <w:iCs/>
          <w:sz w:val="22"/>
          <w:szCs w:val="22"/>
        </w:rPr>
        <w:t xml:space="preserve">În vederea includerii la finanțare prin Program, beneficiarii transmit, </w:t>
      </w:r>
      <w:r w:rsidR="001F1796" w:rsidRPr="001F1796">
        <w:rPr>
          <w:bCs/>
          <w:iCs/>
          <w:sz w:val="22"/>
          <w:szCs w:val="22"/>
        </w:rPr>
        <w:t>în termen de 45 de zile de la intrarea în vigoare a prezentelor norme metodologie</w:t>
      </w:r>
      <w:r w:rsidR="001F1796">
        <w:rPr>
          <w:bCs/>
          <w:iCs/>
          <w:sz w:val="22"/>
          <w:szCs w:val="22"/>
        </w:rPr>
        <w:t xml:space="preserve">, </w:t>
      </w:r>
      <w:r w:rsidR="00121B15">
        <w:rPr>
          <w:bCs/>
          <w:iCs/>
          <w:sz w:val="22"/>
          <w:szCs w:val="22"/>
        </w:rPr>
        <w:t xml:space="preserve">următoarele documente: </w:t>
      </w:r>
      <w:r w:rsidR="00121B15" w:rsidRPr="00121B15">
        <w:rPr>
          <w:bCs/>
          <w:iCs/>
          <w:sz w:val="22"/>
          <w:szCs w:val="22"/>
        </w:rPr>
        <w:t>cererea de finanțare întocmită</w:t>
      </w:r>
      <w:r w:rsidR="00121B15">
        <w:rPr>
          <w:bCs/>
          <w:iCs/>
          <w:sz w:val="22"/>
          <w:szCs w:val="22"/>
        </w:rPr>
        <w:t>, d</w:t>
      </w:r>
      <w:r w:rsidR="00121B15" w:rsidRPr="00121B15">
        <w:rPr>
          <w:bCs/>
          <w:iCs/>
          <w:sz w:val="22"/>
          <w:szCs w:val="22"/>
        </w:rPr>
        <w:t>evizul general estimativ</w:t>
      </w:r>
      <w:r w:rsidR="00121B15">
        <w:rPr>
          <w:bCs/>
          <w:iCs/>
          <w:sz w:val="22"/>
          <w:szCs w:val="22"/>
        </w:rPr>
        <w:t xml:space="preserve">, </w:t>
      </w:r>
      <w:r w:rsidR="00121B15" w:rsidRPr="00121B15">
        <w:rPr>
          <w:bCs/>
          <w:iCs/>
          <w:sz w:val="22"/>
          <w:szCs w:val="22"/>
        </w:rPr>
        <w:t>Hotărârea Consiliului Local/Hotărârea Consiliului Județean/Hotărârea Asociației de Dezvoltare Intercomunitară pentru obiectivele de investiții realizate prin Asociație de Dezvoltare Intercomunitar</w:t>
      </w:r>
      <w:r w:rsidR="00121B15">
        <w:rPr>
          <w:bCs/>
          <w:iCs/>
          <w:sz w:val="22"/>
          <w:szCs w:val="22"/>
        </w:rPr>
        <w:t xml:space="preserve">ă pentru aprobarea  documentelor menționate anterior acesteia, precum și </w:t>
      </w:r>
      <w:r w:rsidR="00121B15" w:rsidRPr="00121B15">
        <w:rPr>
          <w:bCs/>
          <w:iCs/>
          <w:sz w:val="22"/>
          <w:szCs w:val="22"/>
        </w:rPr>
        <w:t>Hotărârile Consiliilor Locale/Hotărârile Consiliilor Județene pentru aprobarea parteneriatului, în situația prevăzută la art. 1 alin. (3)</w:t>
      </w:r>
      <w:r w:rsidR="001F1796">
        <w:rPr>
          <w:bCs/>
          <w:iCs/>
          <w:sz w:val="22"/>
          <w:szCs w:val="22"/>
        </w:rPr>
        <w:t xml:space="preserve"> din normele metodologice.</w:t>
      </w:r>
    </w:p>
    <w:p w:rsidR="00121B15" w:rsidRDefault="001F1796" w:rsidP="00121B15">
      <w:pPr>
        <w:pStyle w:val="BodyText"/>
        <w:ind w:right="567"/>
        <w:jc w:val="both"/>
        <w:rPr>
          <w:bCs/>
          <w:iCs/>
          <w:sz w:val="22"/>
          <w:szCs w:val="22"/>
        </w:rPr>
      </w:pPr>
      <w:r>
        <w:rPr>
          <w:bCs/>
          <w:iCs/>
          <w:sz w:val="22"/>
          <w:szCs w:val="22"/>
        </w:rPr>
        <w:t>De asemenea, c</w:t>
      </w:r>
      <w:r w:rsidR="00121B15" w:rsidRPr="00121B15">
        <w:rPr>
          <w:bCs/>
          <w:iCs/>
          <w:sz w:val="22"/>
          <w:szCs w:val="22"/>
        </w:rPr>
        <w:t>ererea de finanțare se emite în format electronic, se semnează cu semnătură electronică calificată, conform prevederilor Ordonanţei de urgenţă a Guvernului nr. 38/2020 privind utilizarea înscrisurilor în formă electronică la nivelul autorităţilor şi instituţiilor publice, și se încarcă pe platforma digitală „investitii.mdlpa.ro” sau se emite în format hârtie, se semnează olograf și se depune la sediul Ministerului Dezvoltării, Lucrărilor Publice și Administrației, cu programare prealabilă disponibilă pe site-ul oficial al ministerului.</w:t>
      </w:r>
    </w:p>
    <w:p w:rsidR="0099291E" w:rsidRDefault="0099291E" w:rsidP="0099291E">
      <w:pPr>
        <w:pStyle w:val="BodyText"/>
        <w:ind w:right="567"/>
        <w:jc w:val="both"/>
        <w:rPr>
          <w:bCs/>
          <w:iCs/>
          <w:sz w:val="22"/>
          <w:szCs w:val="22"/>
        </w:rPr>
      </w:pPr>
      <w:r w:rsidRPr="0074464F">
        <w:rPr>
          <w:bCs/>
          <w:iCs/>
          <w:sz w:val="22"/>
          <w:szCs w:val="22"/>
        </w:rPr>
        <w:t>Prin normele metodologice de aplicare a Programului</w:t>
      </w:r>
      <w:r>
        <w:rPr>
          <w:bCs/>
          <w:iCs/>
          <w:sz w:val="22"/>
          <w:szCs w:val="22"/>
        </w:rPr>
        <w:t xml:space="preserve"> sunt stabilite criteriile de prioritizare</w:t>
      </w:r>
      <w:r w:rsidR="00484968">
        <w:rPr>
          <w:bCs/>
          <w:iCs/>
          <w:sz w:val="22"/>
          <w:szCs w:val="22"/>
        </w:rPr>
        <w:t xml:space="preserve"> î</w:t>
      </w:r>
      <w:r w:rsidR="00484968" w:rsidRPr="00484968">
        <w:rPr>
          <w:bCs/>
          <w:iCs/>
          <w:sz w:val="22"/>
          <w:szCs w:val="22"/>
        </w:rPr>
        <w:t>n vederea repartizării echilibrate a fondurilor de la bugetul de stat prin Program, pe judeţe, astfel încât să se atingă obiectivul de coeziune teritorială,</w:t>
      </w:r>
      <w:r w:rsidR="00270D74">
        <w:rPr>
          <w:bCs/>
          <w:iCs/>
          <w:sz w:val="22"/>
          <w:szCs w:val="22"/>
        </w:rPr>
        <w:t xml:space="preserve"> </w:t>
      </w:r>
      <w:r w:rsidR="00AD614B" w:rsidRPr="00AD614B">
        <w:rPr>
          <w:bCs/>
          <w:iCs/>
          <w:sz w:val="22"/>
          <w:szCs w:val="22"/>
        </w:rPr>
        <w:t>utilizând</w:t>
      </w:r>
      <w:r w:rsidR="00AD614B">
        <w:rPr>
          <w:bCs/>
          <w:iCs/>
          <w:sz w:val="22"/>
          <w:szCs w:val="22"/>
        </w:rPr>
        <w:t>u-se</w:t>
      </w:r>
      <w:r w:rsidR="00AD614B" w:rsidRPr="00AD614B">
        <w:rPr>
          <w:bCs/>
          <w:iCs/>
          <w:sz w:val="22"/>
          <w:szCs w:val="22"/>
        </w:rPr>
        <w:t xml:space="preserve"> cel puțin unul din criterii</w:t>
      </w:r>
      <w:r w:rsidR="00AD614B">
        <w:rPr>
          <w:bCs/>
          <w:iCs/>
          <w:sz w:val="22"/>
          <w:szCs w:val="22"/>
        </w:rPr>
        <w:t>le</w:t>
      </w:r>
      <w:r w:rsidR="003F2997">
        <w:rPr>
          <w:bCs/>
          <w:iCs/>
          <w:sz w:val="22"/>
          <w:szCs w:val="22"/>
        </w:rPr>
        <w:t xml:space="preserve"> de prioritizare</w:t>
      </w:r>
      <w:r w:rsidR="00270D74">
        <w:rPr>
          <w:bCs/>
          <w:iCs/>
          <w:sz w:val="22"/>
          <w:szCs w:val="22"/>
        </w:rPr>
        <w:t xml:space="preserve"> de la art. 2 din normele metodologice</w:t>
      </w:r>
      <w:r w:rsidR="003F2997">
        <w:rPr>
          <w:bCs/>
          <w:iCs/>
          <w:sz w:val="22"/>
          <w:szCs w:val="22"/>
        </w:rPr>
        <w:t>.</w:t>
      </w:r>
    </w:p>
    <w:p w:rsidR="002A55E7" w:rsidRDefault="002A55E7" w:rsidP="0099291E">
      <w:pPr>
        <w:pStyle w:val="BodyText"/>
        <w:ind w:right="567"/>
        <w:jc w:val="both"/>
        <w:rPr>
          <w:bCs/>
          <w:iCs/>
          <w:sz w:val="22"/>
          <w:szCs w:val="22"/>
        </w:rPr>
      </w:pPr>
      <w:r w:rsidRPr="002A55E7">
        <w:rPr>
          <w:bCs/>
          <w:iCs/>
          <w:sz w:val="22"/>
          <w:szCs w:val="22"/>
        </w:rPr>
        <w:t>După finalizarea perioadei de depunere a cererilor de finanțare și a documentelor ne</w:t>
      </w:r>
      <w:r>
        <w:rPr>
          <w:bCs/>
          <w:iCs/>
          <w:sz w:val="22"/>
          <w:szCs w:val="22"/>
        </w:rPr>
        <w:t>cesare prevăzute la art. 6 alin. (1) din normele metodologice</w:t>
      </w:r>
      <w:r w:rsidRPr="002A55E7">
        <w:rPr>
          <w:bCs/>
          <w:iCs/>
          <w:sz w:val="22"/>
          <w:szCs w:val="22"/>
        </w:rPr>
        <w:t>, Ministerul Dezvoltării, Lucrărilor Publice și Administrației, în urma analizării conformității administrative și tehnice a proiectelor depuse cu cerințele stabilite în Program și în urma aplicăr</w:t>
      </w:r>
      <w:r>
        <w:rPr>
          <w:bCs/>
          <w:iCs/>
          <w:sz w:val="22"/>
          <w:szCs w:val="22"/>
        </w:rPr>
        <w:t xml:space="preserve">ii criteriilor de prioritizare </w:t>
      </w:r>
      <w:r w:rsidRPr="002A55E7">
        <w:rPr>
          <w:bCs/>
          <w:iCs/>
          <w:sz w:val="22"/>
          <w:szCs w:val="22"/>
        </w:rPr>
        <w:t>și efectuării analizei interne, aprobă lista obiectivelor de investiții incluse la finanțare prin Program, prin ordin al ministrului dezvoltării, lucrărilor publice și administrației.</w:t>
      </w:r>
    </w:p>
    <w:p w:rsidR="002A55E7" w:rsidRDefault="002A55E7" w:rsidP="002A55E7">
      <w:pPr>
        <w:pStyle w:val="BodyText"/>
        <w:ind w:right="567"/>
        <w:jc w:val="both"/>
        <w:rPr>
          <w:bCs/>
          <w:iCs/>
          <w:sz w:val="22"/>
          <w:szCs w:val="22"/>
        </w:rPr>
      </w:pPr>
      <w:r w:rsidRPr="002A55E7">
        <w:rPr>
          <w:bCs/>
          <w:iCs/>
          <w:sz w:val="22"/>
          <w:szCs w:val="22"/>
        </w:rPr>
        <w:t>Contractele de finanțare multianuale încheiate între Ministerul Dezvoltării, Lucrărilor Publice și Administrației și beneficiari au o durată de maximum 5 ani bugetari, definiți conform art. 2 alin. (1) pct. 1 din Legea nr. 500/2002 privind finanţele publice, cu modificările și completările ulterioare, fără a depăși data de 31 decembrie 2028 și se încheie în limita creditelor de angajament aprobate anual cu această destinație, fără eșalonarea anuală a creditelor bugetare, care se înscriu cumulat pentru toată perioada de finanțare. Pe durata de valabilitate a contractelor de finanțare, valoarea creditelor de angajament este egală c</w:t>
      </w:r>
      <w:r>
        <w:rPr>
          <w:bCs/>
          <w:iCs/>
          <w:sz w:val="22"/>
          <w:szCs w:val="22"/>
        </w:rPr>
        <w:t xml:space="preserve">u valoarea creditelor bugetare. </w:t>
      </w:r>
      <w:r w:rsidRPr="002A55E7">
        <w:rPr>
          <w:bCs/>
          <w:iCs/>
          <w:sz w:val="22"/>
          <w:szCs w:val="22"/>
        </w:rPr>
        <w:t>În funcție de prevederile bugetare aprobate anual cu această destinație, durata contractelor de finanțare poate fi prelungită cu maxim 3 ani bugetari, fără a depăși data de 31 dece</w:t>
      </w:r>
      <w:r>
        <w:rPr>
          <w:bCs/>
          <w:iCs/>
          <w:sz w:val="22"/>
          <w:szCs w:val="22"/>
        </w:rPr>
        <w:t xml:space="preserve">mbrie 2028. </w:t>
      </w:r>
      <w:r w:rsidR="004D07DA">
        <w:rPr>
          <w:bCs/>
          <w:iCs/>
          <w:sz w:val="22"/>
          <w:szCs w:val="22"/>
        </w:rPr>
        <w:t>Totodată, î</w:t>
      </w:r>
      <w:r w:rsidRPr="002A55E7">
        <w:rPr>
          <w:bCs/>
          <w:iCs/>
          <w:sz w:val="22"/>
          <w:szCs w:val="22"/>
        </w:rPr>
        <w:t>ncepând cu anul bugetar 2024, contractele de finanțare se pot încheia doar în situația depunerii de către beneficiari a unei declarații pe propria răspundere</w:t>
      </w:r>
      <w:r>
        <w:rPr>
          <w:bCs/>
          <w:iCs/>
          <w:sz w:val="22"/>
          <w:szCs w:val="22"/>
        </w:rPr>
        <w:t xml:space="preserve"> </w:t>
      </w:r>
      <w:r w:rsidRPr="002A55E7">
        <w:rPr>
          <w:bCs/>
          <w:iCs/>
          <w:sz w:val="22"/>
          <w:szCs w:val="22"/>
        </w:rPr>
        <w:t>privind finalizarea obiectivului de investiții până</w:t>
      </w:r>
      <w:r>
        <w:rPr>
          <w:bCs/>
          <w:iCs/>
          <w:sz w:val="22"/>
          <w:szCs w:val="22"/>
        </w:rPr>
        <w:t xml:space="preserve"> la data de  31 decembrie 2028. </w:t>
      </w:r>
      <w:r w:rsidRPr="002A55E7">
        <w:rPr>
          <w:bCs/>
          <w:iCs/>
          <w:sz w:val="22"/>
          <w:szCs w:val="22"/>
        </w:rPr>
        <w:t>Valoarea alocată de la bugetul de stat prin contractele de finanțare nu se poate majora.</w:t>
      </w:r>
    </w:p>
    <w:p w:rsidR="0090775C" w:rsidRDefault="0090775C" w:rsidP="00E424C4">
      <w:pPr>
        <w:pStyle w:val="BodyText"/>
        <w:ind w:right="567"/>
        <w:jc w:val="both"/>
        <w:rPr>
          <w:bCs/>
          <w:iCs/>
          <w:sz w:val="22"/>
          <w:szCs w:val="22"/>
        </w:rPr>
      </w:pPr>
      <w:r>
        <w:rPr>
          <w:bCs/>
          <w:iCs/>
          <w:sz w:val="22"/>
          <w:szCs w:val="22"/>
        </w:rPr>
        <w:t>Î</w:t>
      </w:r>
      <w:r w:rsidRPr="0090775C">
        <w:rPr>
          <w:bCs/>
          <w:iCs/>
          <w:sz w:val="22"/>
          <w:szCs w:val="22"/>
        </w:rPr>
        <w:t>n vederea încheierii contractelor de finanțare, beneficiarii sunt obligați să încarce în Platforma digitală documente</w:t>
      </w:r>
      <w:r>
        <w:rPr>
          <w:bCs/>
          <w:iCs/>
          <w:sz w:val="22"/>
          <w:szCs w:val="22"/>
        </w:rPr>
        <w:t>le prevăzute la art. 9 alin. (1) din normele metodologice. De asemenea, u</w:t>
      </w:r>
      <w:r w:rsidRPr="0090775C">
        <w:rPr>
          <w:bCs/>
          <w:iCs/>
          <w:sz w:val="22"/>
          <w:szCs w:val="22"/>
        </w:rPr>
        <w:t xml:space="preserve">lterior încheierii contractelor de finanțare și anterior depunerii fiecărei solicitări de transfer, beneficiarii sunt obligați să încarce în platforma digitală documentele prevăzute </w:t>
      </w:r>
      <w:r w:rsidR="008D7397">
        <w:rPr>
          <w:bCs/>
          <w:iCs/>
          <w:sz w:val="22"/>
          <w:szCs w:val="22"/>
        </w:rPr>
        <w:t>la art. 9 alin. (1) din normele metodologice</w:t>
      </w:r>
      <w:r w:rsidRPr="0090775C">
        <w:rPr>
          <w:bCs/>
          <w:iCs/>
          <w:sz w:val="22"/>
          <w:szCs w:val="22"/>
        </w:rPr>
        <w:t>, actualizate, dacă este cazul, precum și documente</w:t>
      </w:r>
      <w:r w:rsidR="008D7397">
        <w:rPr>
          <w:bCs/>
          <w:iCs/>
          <w:sz w:val="22"/>
          <w:szCs w:val="22"/>
        </w:rPr>
        <w:t>le prevăzute la art. 9 alin. (3) din normele metodologice</w:t>
      </w:r>
      <w:r w:rsidRPr="0090775C">
        <w:rPr>
          <w:bCs/>
          <w:iCs/>
          <w:sz w:val="22"/>
          <w:szCs w:val="22"/>
        </w:rPr>
        <w:t>, în funcție de stadiul de implementare al obiectivului de investiție, sub sancțiunea neefectuării transferului sumelor solicitate de la bugetul de stat până la data actualizării/co</w:t>
      </w:r>
      <w:r w:rsidR="008D7397">
        <w:rPr>
          <w:bCs/>
          <w:iCs/>
          <w:sz w:val="22"/>
          <w:szCs w:val="22"/>
        </w:rPr>
        <w:t>mpletării documentației.</w:t>
      </w:r>
    </w:p>
    <w:p w:rsidR="008D7397" w:rsidRDefault="00A60B3A" w:rsidP="00A60B3A">
      <w:pPr>
        <w:pStyle w:val="BodyText"/>
        <w:ind w:right="567"/>
        <w:jc w:val="both"/>
        <w:rPr>
          <w:bCs/>
          <w:iCs/>
          <w:sz w:val="22"/>
          <w:szCs w:val="22"/>
        </w:rPr>
      </w:pPr>
      <w:r w:rsidRPr="00A60B3A">
        <w:rPr>
          <w:bCs/>
          <w:iCs/>
          <w:sz w:val="22"/>
          <w:szCs w:val="22"/>
        </w:rPr>
        <w:lastRenderedPageBreak/>
        <w:t>Pentru finanțarea cheltuielilor necesare realizării obiectivului de investiții, cu excepția celor prevăzute la art. 4 alin. (6)</w:t>
      </w:r>
      <w:r>
        <w:rPr>
          <w:bCs/>
          <w:iCs/>
          <w:sz w:val="22"/>
          <w:szCs w:val="22"/>
        </w:rPr>
        <w:t xml:space="preserve"> din normele metodologice</w:t>
      </w:r>
      <w:r w:rsidRPr="00A60B3A">
        <w:rPr>
          <w:bCs/>
          <w:iCs/>
          <w:sz w:val="22"/>
          <w:szCs w:val="22"/>
        </w:rPr>
        <w:t>, beneficiarii deschid conturi la unități ale Trezoreriei Statului, în care vor fi virate sumele aferente alocate de la bugetul de stat prin bugetul Ministerului Dezvoltării, Lucrăr</w:t>
      </w:r>
      <w:r>
        <w:rPr>
          <w:bCs/>
          <w:iCs/>
          <w:sz w:val="22"/>
          <w:szCs w:val="22"/>
        </w:rPr>
        <w:t xml:space="preserve">ilor Publice și Administrației, iar acesta </w:t>
      </w:r>
      <w:r w:rsidRPr="00A60B3A">
        <w:rPr>
          <w:bCs/>
          <w:iCs/>
          <w:sz w:val="22"/>
          <w:szCs w:val="22"/>
        </w:rPr>
        <w:t>virează prin ordin de plată sumele alocate către beneficiari în conturile deschise la Trezoreria Statului</w:t>
      </w:r>
      <w:r>
        <w:rPr>
          <w:bCs/>
          <w:iCs/>
          <w:sz w:val="22"/>
          <w:szCs w:val="22"/>
        </w:rPr>
        <w:t xml:space="preserve">. </w:t>
      </w:r>
      <w:r w:rsidRPr="00A60B3A">
        <w:rPr>
          <w:bCs/>
          <w:iCs/>
          <w:sz w:val="22"/>
          <w:szCs w:val="22"/>
        </w:rPr>
        <w:t>Beneficiarii asigură evidența alocării și utilizării sumelor virate în conturile deschise la unitățile Trezoreriei Statului și răspund, în condițiile legii, de utilizarea sumelor primite pentru realizarea obiectivelor de investiții.</w:t>
      </w:r>
    </w:p>
    <w:p w:rsidR="00A40554" w:rsidRDefault="00A40554" w:rsidP="00A40554">
      <w:pPr>
        <w:pStyle w:val="BodyText"/>
        <w:ind w:right="567"/>
        <w:jc w:val="both"/>
        <w:rPr>
          <w:bCs/>
          <w:iCs/>
          <w:sz w:val="22"/>
          <w:szCs w:val="22"/>
        </w:rPr>
      </w:pPr>
      <w:r w:rsidRPr="00A40554">
        <w:rPr>
          <w:bCs/>
          <w:iCs/>
          <w:sz w:val="22"/>
          <w:szCs w:val="22"/>
        </w:rPr>
        <w:t>Finanțarea Programului se asigură din sume din transferuri, alocate bugetelor locale, de la bugetul de stat, aprobate cu această destinaţie în bugetul Ministerului Dezvoltării, Lucrărilor Publice şi Administraţiei, la o p</w:t>
      </w:r>
      <w:r>
        <w:rPr>
          <w:bCs/>
          <w:iCs/>
          <w:sz w:val="22"/>
          <w:szCs w:val="22"/>
        </w:rPr>
        <w:t xml:space="preserve">oziţie distinctă de cheltuieli, din </w:t>
      </w:r>
      <w:r w:rsidRPr="00A40554">
        <w:rPr>
          <w:bCs/>
          <w:iCs/>
          <w:sz w:val="22"/>
          <w:szCs w:val="22"/>
        </w:rPr>
        <w:t>sume din bugetele locale a</w:t>
      </w:r>
      <w:r>
        <w:rPr>
          <w:bCs/>
          <w:iCs/>
          <w:sz w:val="22"/>
          <w:szCs w:val="22"/>
        </w:rPr>
        <w:t xml:space="preserve">locate cu această destinaţie și din alte surse legal constituite. </w:t>
      </w:r>
      <w:r w:rsidRPr="00A40554">
        <w:rPr>
          <w:bCs/>
          <w:iCs/>
          <w:sz w:val="22"/>
          <w:szCs w:val="22"/>
        </w:rPr>
        <w:t>Sumele alocate de la bugetul de stat prin bugetul Ministerului Dezvoltării, Lucrărilor Publice şi</w:t>
      </w:r>
      <w:r>
        <w:rPr>
          <w:bCs/>
          <w:iCs/>
          <w:sz w:val="22"/>
          <w:szCs w:val="22"/>
        </w:rPr>
        <w:t xml:space="preserve"> Administraţiei, prin </w:t>
      </w:r>
      <w:r w:rsidRPr="00A40554">
        <w:rPr>
          <w:bCs/>
          <w:iCs/>
          <w:sz w:val="22"/>
          <w:szCs w:val="22"/>
        </w:rPr>
        <w:t>program, sunt surse de finanţare complementare pentru bugetele locale.</w:t>
      </w:r>
    </w:p>
    <w:p w:rsidR="00A60B3A" w:rsidRDefault="00A40554" w:rsidP="00A40554">
      <w:pPr>
        <w:pStyle w:val="BodyText"/>
        <w:ind w:right="567"/>
        <w:jc w:val="both"/>
        <w:rPr>
          <w:bCs/>
          <w:iCs/>
          <w:sz w:val="22"/>
          <w:szCs w:val="22"/>
        </w:rPr>
      </w:pPr>
      <w:r w:rsidRPr="00A40554">
        <w:rPr>
          <w:bCs/>
          <w:iCs/>
          <w:sz w:val="22"/>
          <w:szCs w:val="22"/>
        </w:rPr>
        <w:t>După încheierea contractelor de finanțare multianuale, beneficiarii transmit Ministerului Dezvoltării, Lucrărilor Publice și Administrației solicitarea privind transferul sumelor necesare pentru decontarea bunurilor achiziționate, serviciilor prestate, lucrărilor executate, în funcție de necesități, în limita contractelor de finanțare multianuale încheiate. Solicitarea de transfer are în vedere numai bunurile achiziționate, serviciile prestate, lucrările executate, după aprobarea listei prevăzute la art. 7</w:t>
      </w:r>
      <w:r w:rsidR="00793E4A">
        <w:rPr>
          <w:bCs/>
          <w:iCs/>
          <w:sz w:val="22"/>
          <w:szCs w:val="22"/>
        </w:rPr>
        <w:t xml:space="preserve"> din normele metodologice. </w:t>
      </w:r>
      <w:r w:rsidRPr="00A40554">
        <w:rPr>
          <w:bCs/>
          <w:iCs/>
          <w:sz w:val="22"/>
          <w:szCs w:val="22"/>
        </w:rPr>
        <w:t>Suma care se acordă de la bugetul de stat pentru finanțarea obiectivelor de investiții prin Program se transferă beneficiarilor în limita creditului bugetar anual al Ministerului Dezvoltării, Lucrărilor Publice și Administrației aprobat cu această destinație, în ordinea cronologică de înregistrare a solicitării de transfer a sumelor necesare pentru decontarea bunurilor achiziționate/serviciilor prestate/lucrărilor executate.</w:t>
      </w:r>
    </w:p>
    <w:p w:rsidR="001C67F2" w:rsidRDefault="001C67F2" w:rsidP="001C67F2">
      <w:pPr>
        <w:pStyle w:val="BodyText"/>
        <w:ind w:right="567"/>
        <w:jc w:val="both"/>
        <w:rPr>
          <w:bCs/>
          <w:iCs/>
          <w:sz w:val="22"/>
          <w:szCs w:val="22"/>
        </w:rPr>
      </w:pPr>
      <w:r w:rsidRPr="001C67F2">
        <w:rPr>
          <w:bCs/>
          <w:iCs/>
          <w:sz w:val="22"/>
          <w:szCs w:val="22"/>
        </w:rPr>
        <w:t xml:space="preserve">În termen de 20 de zile lucrătoare de la transferul sumelor </w:t>
      </w:r>
      <w:r>
        <w:rPr>
          <w:bCs/>
          <w:iCs/>
          <w:sz w:val="22"/>
          <w:szCs w:val="22"/>
        </w:rPr>
        <w:t>menționat mai sus</w:t>
      </w:r>
      <w:r w:rsidRPr="001C67F2">
        <w:rPr>
          <w:bCs/>
          <w:iCs/>
          <w:sz w:val="22"/>
          <w:szCs w:val="22"/>
        </w:rPr>
        <w:t>, beneficiarii au obligația să le vireze prin ordin de plată către prestatorii de servicii/executanții de lucrări/furnizorii de bunuri, după caz, și să transmită, prin intermediul platformei digitale justificarea utilizării sumelor, pentru monitorizarea utilizării sumelor transferate de la bugetul de stat, prin bugetul Ministerului Dezvoltării, Lucrărilor Publice și Administrației, cu destinația finanțării cheltuielilor prevăzute în contractel</w:t>
      </w:r>
      <w:r>
        <w:rPr>
          <w:bCs/>
          <w:iCs/>
          <w:sz w:val="22"/>
          <w:szCs w:val="22"/>
        </w:rPr>
        <w:t>e de finanțare multianuale. Iar î</w:t>
      </w:r>
      <w:r w:rsidRPr="001C67F2">
        <w:rPr>
          <w:bCs/>
          <w:iCs/>
          <w:sz w:val="22"/>
          <w:szCs w:val="22"/>
        </w:rPr>
        <w:t xml:space="preserve">n situația în care beneficiarii nu virează sumele în termenul </w:t>
      </w:r>
      <w:r w:rsidR="0056564F">
        <w:rPr>
          <w:bCs/>
          <w:iCs/>
          <w:sz w:val="22"/>
          <w:szCs w:val="22"/>
        </w:rPr>
        <w:t>de 20 de zile lucrătoare</w:t>
      </w:r>
      <w:r w:rsidRPr="001C67F2">
        <w:rPr>
          <w:bCs/>
          <w:iCs/>
          <w:sz w:val="22"/>
          <w:szCs w:val="22"/>
        </w:rPr>
        <w:t xml:space="preserve">, trebuie să justifice motivul neefectuării viramentului și să le returneze în bugetul Ministerului Dezvoltării, Lucrărilor Publice și Administrației în termen de 5 zile lucrătoare de la expirarea termenului inițial de 20 de zile. </w:t>
      </w:r>
    </w:p>
    <w:p w:rsidR="0056564F" w:rsidRDefault="0056564F" w:rsidP="0056564F">
      <w:pPr>
        <w:pStyle w:val="BodyText"/>
        <w:ind w:right="567"/>
        <w:jc w:val="both"/>
        <w:rPr>
          <w:bCs/>
          <w:iCs/>
          <w:sz w:val="22"/>
          <w:szCs w:val="22"/>
        </w:rPr>
      </w:pPr>
      <w:r w:rsidRPr="0056564F">
        <w:rPr>
          <w:bCs/>
          <w:iCs/>
          <w:sz w:val="22"/>
          <w:szCs w:val="22"/>
        </w:rPr>
        <w:t xml:space="preserve">Beneficiarii sunt responsabili pentru derularea eficientă a procesului de implementare a obiectivelor de investiții </w:t>
      </w:r>
      <w:r>
        <w:rPr>
          <w:bCs/>
          <w:iCs/>
          <w:sz w:val="22"/>
          <w:szCs w:val="22"/>
        </w:rPr>
        <w:t>aprobate în cadrul Programului. Totodată, b</w:t>
      </w:r>
      <w:r w:rsidRPr="0056564F">
        <w:rPr>
          <w:bCs/>
          <w:iCs/>
          <w:sz w:val="22"/>
          <w:szCs w:val="22"/>
        </w:rPr>
        <w:t>eneficiarii au obligația să pună la dispoziția Ministerului Dezvoltării, Lucrărilor Publice și Administrației, la solicitarea acestuia, toate documentele justificative privind derularea investiției, răspunzând de realitatea, exactitatea și legalitatea acestora, precum și de sumele cheltuite în scop</w:t>
      </w:r>
      <w:r>
        <w:rPr>
          <w:bCs/>
          <w:iCs/>
          <w:sz w:val="22"/>
          <w:szCs w:val="22"/>
        </w:rPr>
        <w:t>ul pentru care au fost alocate. De asemenea, b</w:t>
      </w:r>
      <w:r w:rsidRPr="0056564F">
        <w:rPr>
          <w:bCs/>
          <w:iCs/>
          <w:sz w:val="22"/>
          <w:szCs w:val="22"/>
        </w:rPr>
        <w:t>eneficiarii răspund, potrivit legii, de organizarea și derularea procedurilor de atribuire a contractelor de achiziție publică, de derulare a contractelor încheiate, de respectarea obligațiilor asumate prin contractele de finanțare, precum și de modul de utilizare a sumelor alocate de la bugetul de stat prin Program, potrivit destinației pentru care au fost aloc</w:t>
      </w:r>
      <w:r>
        <w:rPr>
          <w:bCs/>
          <w:iCs/>
          <w:sz w:val="22"/>
          <w:szCs w:val="22"/>
        </w:rPr>
        <w:t xml:space="preserve">ate. </w:t>
      </w:r>
      <w:r w:rsidRPr="0056564F">
        <w:rPr>
          <w:bCs/>
          <w:iCs/>
          <w:sz w:val="22"/>
          <w:szCs w:val="22"/>
        </w:rPr>
        <w:t>Sumele acordate și neutilizate până la finele anului în care au fost acordate urmează regimul juridic prevăzut de reglementările emise în temeiul art. 19 lit. d) din Legea nr. 500/2002, cu modificările și completările ulterioare.</w:t>
      </w:r>
    </w:p>
    <w:p w:rsidR="0074464F" w:rsidRDefault="00792ED7" w:rsidP="00881946">
      <w:pPr>
        <w:pStyle w:val="BodyText"/>
        <w:ind w:right="567"/>
        <w:jc w:val="both"/>
        <w:rPr>
          <w:bCs/>
          <w:iCs/>
          <w:sz w:val="22"/>
          <w:szCs w:val="22"/>
        </w:rPr>
      </w:pPr>
      <w:r>
        <w:rPr>
          <w:bCs/>
          <w:iCs/>
          <w:sz w:val="22"/>
          <w:szCs w:val="22"/>
        </w:rPr>
        <w:lastRenderedPageBreak/>
        <w:t>Î</w:t>
      </w:r>
      <w:r w:rsidRPr="00792ED7">
        <w:rPr>
          <w:bCs/>
          <w:iCs/>
          <w:sz w:val="22"/>
          <w:szCs w:val="22"/>
        </w:rPr>
        <w:t>n vederea monitorizării şi verificării derulării obiectivelor de investiţii din cadrul programului, se constituie o structură specializată</w:t>
      </w:r>
      <w:r>
        <w:rPr>
          <w:bCs/>
          <w:iCs/>
          <w:sz w:val="22"/>
          <w:szCs w:val="22"/>
        </w:rPr>
        <w:t>, î</w:t>
      </w:r>
      <w:r w:rsidRPr="00792ED7">
        <w:rPr>
          <w:bCs/>
          <w:iCs/>
          <w:sz w:val="22"/>
          <w:szCs w:val="22"/>
        </w:rPr>
        <w:t>n cadrul Ministerului Dezvoltării, Lucră</w:t>
      </w:r>
      <w:r>
        <w:rPr>
          <w:bCs/>
          <w:iCs/>
          <w:sz w:val="22"/>
          <w:szCs w:val="22"/>
        </w:rPr>
        <w:t>rilor Publice şi Administraţiei</w:t>
      </w:r>
      <w:r w:rsidRPr="00792ED7">
        <w:rPr>
          <w:bCs/>
          <w:iCs/>
          <w:sz w:val="22"/>
          <w:szCs w:val="22"/>
        </w:rPr>
        <w:t>.</w:t>
      </w:r>
      <w:r w:rsidR="0002599D">
        <w:rPr>
          <w:bCs/>
          <w:iCs/>
          <w:sz w:val="22"/>
          <w:szCs w:val="22"/>
        </w:rPr>
        <w:t xml:space="preserve"> </w:t>
      </w:r>
      <w:r w:rsidR="0002599D" w:rsidRPr="0002599D">
        <w:rPr>
          <w:bCs/>
          <w:iCs/>
          <w:sz w:val="22"/>
          <w:szCs w:val="22"/>
        </w:rPr>
        <w:t>Structura de  monitorizare și verificare, denumită în continuare structură, se înființează în cadrul Direcției generale dezvoltare regională și infrastructură (DGDRI) și este subordonată direct directorului general al DGDRI, potrivit prevederilor art. 9 alin. (5) din Hotărârea Guvernului nr. 477/2020 privind organizarea și funcționarea Ministerului Lucrărilor Publice, Dezvoltării și Administrației.</w:t>
      </w:r>
    </w:p>
    <w:p w:rsidR="00482ED6" w:rsidRPr="00C1482E" w:rsidRDefault="0063246E" w:rsidP="00C1482E">
      <w:pPr>
        <w:pStyle w:val="BodyText"/>
        <w:ind w:right="567"/>
        <w:jc w:val="both"/>
        <w:rPr>
          <w:bCs/>
          <w:iCs/>
          <w:sz w:val="22"/>
          <w:szCs w:val="22"/>
        </w:rPr>
      </w:pPr>
      <w:r>
        <w:rPr>
          <w:bCs/>
          <w:iCs/>
          <w:sz w:val="22"/>
          <w:szCs w:val="22"/>
        </w:rPr>
        <w:t>Structura m</w:t>
      </w:r>
      <w:r w:rsidRPr="0063246E">
        <w:rPr>
          <w:bCs/>
          <w:iCs/>
          <w:sz w:val="22"/>
          <w:szCs w:val="22"/>
        </w:rPr>
        <w:t>onitor</w:t>
      </w:r>
      <w:r>
        <w:rPr>
          <w:bCs/>
          <w:iCs/>
          <w:sz w:val="22"/>
          <w:szCs w:val="22"/>
        </w:rPr>
        <w:t xml:space="preserve">izează </w:t>
      </w:r>
      <w:r w:rsidRPr="0063246E">
        <w:rPr>
          <w:bCs/>
          <w:iCs/>
          <w:sz w:val="22"/>
          <w:szCs w:val="22"/>
        </w:rPr>
        <w:t>ș</w:t>
      </w:r>
      <w:r>
        <w:rPr>
          <w:bCs/>
          <w:iCs/>
          <w:sz w:val="22"/>
          <w:szCs w:val="22"/>
        </w:rPr>
        <w:t>i verifică obiectivele</w:t>
      </w:r>
      <w:r w:rsidRPr="0063246E">
        <w:rPr>
          <w:bCs/>
          <w:iCs/>
          <w:sz w:val="22"/>
          <w:szCs w:val="22"/>
        </w:rPr>
        <w:t xml:space="preserve"> de investiții ce se derulează prin Program reprezintă procesul continuu de colectare sistematică de informații privind modul de derulare a acestora, analiza și valorificarea informației, proces care se efectuează de la data încheierii contractelor de finanțare și până la recepția la terminarea lucrărilor. Prin excepție, structura verifică, la sesizare, dacă beneficiarii mențin în funcțiune și asigură exploatarea obiectivelor de investiții, pe perioada cuprinsă între data recepției la terminarea lucrări</w:t>
      </w:r>
      <w:r>
        <w:rPr>
          <w:bCs/>
          <w:iCs/>
          <w:sz w:val="22"/>
          <w:szCs w:val="22"/>
        </w:rPr>
        <w:t>lor și data recepției finale. S</w:t>
      </w:r>
      <w:r w:rsidRPr="0063246E">
        <w:rPr>
          <w:bCs/>
          <w:iCs/>
          <w:sz w:val="22"/>
          <w:szCs w:val="22"/>
        </w:rPr>
        <w:t>tructura nu are atribuții în verificarea procedurilor de achiziție publică de atribuire a contractelor de furnizare/servicii/lucrări încheiate de beneficiari în vederea realizării obiectivelor de investiții finanțate prin Program.</w:t>
      </w:r>
      <w:bookmarkEnd w:id="0"/>
      <w:bookmarkEnd w:id="1"/>
    </w:p>
    <w:sectPr w:rsidR="00482ED6" w:rsidRPr="00C1482E" w:rsidSect="00691000">
      <w:footerReference w:type="default" r:id="rId8"/>
      <w:pgSz w:w="11906" w:h="16838" w:code="9"/>
      <w:pgMar w:top="1418" w:right="566" w:bottom="851" w:left="1701"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6ED" w:rsidRDefault="009626ED" w:rsidP="0016561B">
      <w:r>
        <w:separator/>
      </w:r>
    </w:p>
  </w:endnote>
  <w:endnote w:type="continuationSeparator" w:id="0">
    <w:p w:rsidR="009626ED" w:rsidRDefault="009626ED"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jan Pro">
    <w:altName w:val="Georgia"/>
    <w:panose1 w:val="00000000000000000000"/>
    <w:charset w:val="00"/>
    <w:family w:val="roman"/>
    <w:notTrueType/>
    <w:pitch w:val="variable"/>
    <w:sig w:usb0="00000087" w:usb1="00000000"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B9" w:rsidRPr="00635EEF" w:rsidRDefault="00A772B9" w:rsidP="00396CAD">
    <w:pPr>
      <w:spacing w:after="120" w:line="240" w:lineRule="auto"/>
      <w:ind w:left="-709"/>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6ED" w:rsidRDefault="009626ED" w:rsidP="0016561B">
      <w:r>
        <w:separator/>
      </w:r>
    </w:p>
  </w:footnote>
  <w:footnote w:type="continuationSeparator" w:id="0">
    <w:p w:rsidR="009626ED" w:rsidRDefault="009626ED" w:rsidP="0016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1266"/>
    <w:multiLevelType w:val="hybridMultilevel"/>
    <w:tmpl w:val="0D1649C6"/>
    <w:lvl w:ilvl="0" w:tplc="A6C2DA84">
      <w:start w:val="4"/>
      <w:numFmt w:val="bullet"/>
      <w:lvlText w:val="-"/>
      <w:lvlJc w:val="left"/>
      <w:pPr>
        <w:ind w:left="694" w:hanging="360"/>
      </w:pPr>
      <w:rPr>
        <w:rFonts w:ascii="Trebuchet MS" w:eastAsia="MS Mincho" w:hAnsi="Trebuchet MS" w:cs="Trebuchet MS"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 w15:restartNumberingAfterBreak="0">
    <w:nsid w:val="3D911444"/>
    <w:multiLevelType w:val="hybridMultilevel"/>
    <w:tmpl w:val="5518D7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54B788F"/>
    <w:multiLevelType w:val="hybridMultilevel"/>
    <w:tmpl w:val="B3881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127F"/>
    <w:multiLevelType w:val="hybridMultilevel"/>
    <w:tmpl w:val="8E2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A8"/>
    <w:rsid w:val="00001EDB"/>
    <w:rsid w:val="00002301"/>
    <w:rsid w:val="00017C2A"/>
    <w:rsid w:val="0002599D"/>
    <w:rsid w:val="000424C5"/>
    <w:rsid w:val="00046BE1"/>
    <w:rsid w:val="00053E2F"/>
    <w:rsid w:val="00054F30"/>
    <w:rsid w:val="00061445"/>
    <w:rsid w:val="00067681"/>
    <w:rsid w:val="00083171"/>
    <w:rsid w:val="00092143"/>
    <w:rsid w:val="0009424B"/>
    <w:rsid w:val="000A44C3"/>
    <w:rsid w:val="000B18AF"/>
    <w:rsid w:val="000C189F"/>
    <w:rsid w:val="000C60CF"/>
    <w:rsid w:val="000D4EEB"/>
    <w:rsid w:val="000D5FE2"/>
    <w:rsid w:val="000E0DEB"/>
    <w:rsid w:val="000E134B"/>
    <w:rsid w:val="000F27CB"/>
    <w:rsid w:val="000F70AF"/>
    <w:rsid w:val="001009F0"/>
    <w:rsid w:val="00115BB3"/>
    <w:rsid w:val="00117632"/>
    <w:rsid w:val="00121B15"/>
    <w:rsid w:val="00124525"/>
    <w:rsid w:val="00125FE7"/>
    <w:rsid w:val="001325BA"/>
    <w:rsid w:val="001423EA"/>
    <w:rsid w:val="00142CCB"/>
    <w:rsid w:val="001449E5"/>
    <w:rsid w:val="00144DC1"/>
    <w:rsid w:val="00162457"/>
    <w:rsid w:val="00163D9C"/>
    <w:rsid w:val="0016561B"/>
    <w:rsid w:val="0016764B"/>
    <w:rsid w:val="00171A68"/>
    <w:rsid w:val="001741BF"/>
    <w:rsid w:val="001A1EA0"/>
    <w:rsid w:val="001A2EFB"/>
    <w:rsid w:val="001A37FA"/>
    <w:rsid w:val="001C31DD"/>
    <w:rsid w:val="001C3480"/>
    <w:rsid w:val="001C67F2"/>
    <w:rsid w:val="001D6B3B"/>
    <w:rsid w:val="001E1819"/>
    <w:rsid w:val="001E6D99"/>
    <w:rsid w:val="001F019E"/>
    <w:rsid w:val="001F1796"/>
    <w:rsid w:val="00213C1A"/>
    <w:rsid w:val="00214B96"/>
    <w:rsid w:val="00215B25"/>
    <w:rsid w:val="00231991"/>
    <w:rsid w:val="00231D92"/>
    <w:rsid w:val="00237A30"/>
    <w:rsid w:val="00241C54"/>
    <w:rsid w:val="00250720"/>
    <w:rsid w:val="00251953"/>
    <w:rsid w:val="00251AC6"/>
    <w:rsid w:val="0026379A"/>
    <w:rsid w:val="002678C9"/>
    <w:rsid w:val="00270D74"/>
    <w:rsid w:val="00280346"/>
    <w:rsid w:val="002836D5"/>
    <w:rsid w:val="002A3D0A"/>
    <w:rsid w:val="002A529F"/>
    <w:rsid w:val="002A55E7"/>
    <w:rsid w:val="002A5B3F"/>
    <w:rsid w:val="002B2A44"/>
    <w:rsid w:val="002B6FBD"/>
    <w:rsid w:val="002C5774"/>
    <w:rsid w:val="002C7278"/>
    <w:rsid w:val="002D0A81"/>
    <w:rsid w:val="002E0684"/>
    <w:rsid w:val="002E4021"/>
    <w:rsid w:val="002F28DA"/>
    <w:rsid w:val="002F2A8C"/>
    <w:rsid w:val="002F3884"/>
    <w:rsid w:val="00312048"/>
    <w:rsid w:val="0031264D"/>
    <w:rsid w:val="0031567D"/>
    <w:rsid w:val="00332DD1"/>
    <w:rsid w:val="00335D2D"/>
    <w:rsid w:val="0034677F"/>
    <w:rsid w:val="00353E02"/>
    <w:rsid w:val="00357ED8"/>
    <w:rsid w:val="00364E3B"/>
    <w:rsid w:val="003706CC"/>
    <w:rsid w:val="00395DAD"/>
    <w:rsid w:val="00396CAD"/>
    <w:rsid w:val="00396DC7"/>
    <w:rsid w:val="003A2FA7"/>
    <w:rsid w:val="003B12E7"/>
    <w:rsid w:val="003B3AB7"/>
    <w:rsid w:val="003B4B42"/>
    <w:rsid w:val="003B7552"/>
    <w:rsid w:val="003C591A"/>
    <w:rsid w:val="003C7D3B"/>
    <w:rsid w:val="003E360F"/>
    <w:rsid w:val="003E62A3"/>
    <w:rsid w:val="003F1807"/>
    <w:rsid w:val="003F25BE"/>
    <w:rsid w:val="003F2997"/>
    <w:rsid w:val="003F4045"/>
    <w:rsid w:val="003F61BE"/>
    <w:rsid w:val="00402D91"/>
    <w:rsid w:val="004042E7"/>
    <w:rsid w:val="00421DD0"/>
    <w:rsid w:val="0043198D"/>
    <w:rsid w:val="00431DF2"/>
    <w:rsid w:val="00433F04"/>
    <w:rsid w:val="00470E1E"/>
    <w:rsid w:val="00471F75"/>
    <w:rsid w:val="00482ED6"/>
    <w:rsid w:val="00484968"/>
    <w:rsid w:val="004927FC"/>
    <w:rsid w:val="004940D1"/>
    <w:rsid w:val="00496D44"/>
    <w:rsid w:val="004A4B5F"/>
    <w:rsid w:val="004A4EB2"/>
    <w:rsid w:val="004B0495"/>
    <w:rsid w:val="004B726D"/>
    <w:rsid w:val="004C3DF5"/>
    <w:rsid w:val="004D074C"/>
    <w:rsid w:val="004D07DA"/>
    <w:rsid w:val="004D42EE"/>
    <w:rsid w:val="004E7BC8"/>
    <w:rsid w:val="004F0243"/>
    <w:rsid w:val="004F25B5"/>
    <w:rsid w:val="004F3077"/>
    <w:rsid w:val="004F534D"/>
    <w:rsid w:val="0050118F"/>
    <w:rsid w:val="005151F8"/>
    <w:rsid w:val="005161F2"/>
    <w:rsid w:val="0052199F"/>
    <w:rsid w:val="00521CC1"/>
    <w:rsid w:val="0052388A"/>
    <w:rsid w:val="005247C3"/>
    <w:rsid w:val="00534557"/>
    <w:rsid w:val="005552CB"/>
    <w:rsid w:val="0056564F"/>
    <w:rsid w:val="00566A68"/>
    <w:rsid w:val="0057156C"/>
    <w:rsid w:val="0057659A"/>
    <w:rsid w:val="00576B7E"/>
    <w:rsid w:val="00585D0E"/>
    <w:rsid w:val="00591925"/>
    <w:rsid w:val="005A22BD"/>
    <w:rsid w:val="005A4B36"/>
    <w:rsid w:val="005A5C85"/>
    <w:rsid w:val="005A6A9B"/>
    <w:rsid w:val="005B0789"/>
    <w:rsid w:val="005B17B8"/>
    <w:rsid w:val="005B6FF8"/>
    <w:rsid w:val="005B7C36"/>
    <w:rsid w:val="005C4706"/>
    <w:rsid w:val="005D75DE"/>
    <w:rsid w:val="005E1426"/>
    <w:rsid w:val="005E4E38"/>
    <w:rsid w:val="005E63A0"/>
    <w:rsid w:val="005F208E"/>
    <w:rsid w:val="00602A33"/>
    <w:rsid w:val="00610585"/>
    <w:rsid w:val="00610C0D"/>
    <w:rsid w:val="00612EA8"/>
    <w:rsid w:val="0061513E"/>
    <w:rsid w:val="00622CC4"/>
    <w:rsid w:val="00623F3D"/>
    <w:rsid w:val="00630B71"/>
    <w:rsid w:val="00631400"/>
    <w:rsid w:val="0063246E"/>
    <w:rsid w:val="0063329D"/>
    <w:rsid w:val="00635EEF"/>
    <w:rsid w:val="00636FA1"/>
    <w:rsid w:val="00643FB2"/>
    <w:rsid w:val="006534B5"/>
    <w:rsid w:val="006573C2"/>
    <w:rsid w:val="00660381"/>
    <w:rsid w:val="00661AFC"/>
    <w:rsid w:val="00671757"/>
    <w:rsid w:val="0067262F"/>
    <w:rsid w:val="00691000"/>
    <w:rsid w:val="00692CF3"/>
    <w:rsid w:val="006951C2"/>
    <w:rsid w:val="006A1711"/>
    <w:rsid w:val="006A3EB0"/>
    <w:rsid w:val="006A5CEF"/>
    <w:rsid w:val="006C0869"/>
    <w:rsid w:val="006C6685"/>
    <w:rsid w:val="006D50BB"/>
    <w:rsid w:val="006E35D6"/>
    <w:rsid w:val="006F35AF"/>
    <w:rsid w:val="006F7174"/>
    <w:rsid w:val="006F7D13"/>
    <w:rsid w:val="0070471E"/>
    <w:rsid w:val="00707EC5"/>
    <w:rsid w:val="00727EA5"/>
    <w:rsid w:val="00742572"/>
    <w:rsid w:val="0074464F"/>
    <w:rsid w:val="0074535F"/>
    <w:rsid w:val="00763F55"/>
    <w:rsid w:val="00766764"/>
    <w:rsid w:val="00770E66"/>
    <w:rsid w:val="0077236D"/>
    <w:rsid w:val="007862C5"/>
    <w:rsid w:val="00786957"/>
    <w:rsid w:val="007929C0"/>
    <w:rsid w:val="00792ED7"/>
    <w:rsid w:val="00793E4A"/>
    <w:rsid w:val="00797DBF"/>
    <w:rsid w:val="007A436E"/>
    <w:rsid w:val="007B1CCA"/>
    <w:rsid w:val="007B5792"/>
    <w:rsid w:val="007C072E"/>
    <w:rsid w:val="007C262A"/>
    <w:rsid w:val="007D1C57"/>
    <w:rsid w:val="007D2EA2"/>
    <w:rsid w:val="007E3B12"/>
    <w:rsid w:val="007E6AD0"/>
    <w:rsid w:val="007E6F99"/>
    <w:rsid w:val="007F7BC8"/>
    <w:rsid w:val="00802B19"/>
    <w:rsid w:val="00804CFA"/>
    <w:rsid w:val="0081277C"/>
    <w:rsid w:val="00817A3B"/>
    <w:rsid w:val="0082568C"/>
    <w:rsid w:val="008301A3"/>
    <w:rsid w:val="00842C89"/>
    <w:rsid w:val="00844B6E"/>
    <w:rsid w:val="0084573F"/>
    <w:rsid w:val="008465F2"/>
    <w:rsid w:val="00851FEE"/>
    <w:rsid w:val="008525F3"/>
    <w:rsid w:val="00866072"/>
    <w:rsid w:val="00881946"/>
    <w:rsid w:val="00894CA7"/>
    <w:rsid w:val="008A4AF8"/>
    <w:rsid w:val="008B01DD"/>
    <w:rsid w:val="008B177E"/>
    <w:rsid w:val="008C2371"/>
    <w:rsid w:val="008C612A"/>
    <w:rsid w:val="008D0459"/>
    <w:rsid w:val="008D2CFB"/>
    <w:rsid w:val="008D4EEA"/>
    <w:rsid w:val="008D6154"/>
    <w:rsid w:val="008D7397"/>
    <w:rsid w:val="008D7D60"/>
    <w:rsid w:val="008E7AF0"/>
    <w:rsid w:val="008F1715"/>
    <w:rsid w:val="008F2DDA"/>
    <w:rsid w:val="008F5199"/>
    <w:rsid w:val="00901585"/>
    <w:rsid w:val="0090455D"/>
    <w:rsid w:val="0090775C"/>
    <w:rsid w:val="00924F3F"/>
    <w:rsid w:val="00931683"/>
    <w:rsid w:val="009367AA"/>
    <w:rsid w:val="00937FB0"/>
    <w:rsid w:val="009626ED"/>
    <w:rsid w:val="00963095"/>
    <w:rsid w:val="009710A0"/>
    <w:rsid w:val="0098047D"/>
    <w:rsid w:val="00981654"/>
    <w:rsid w:val="00982A7B"/>
    <w:rsid w:val="00990CC7"/>
    <w:rsid w:val="0099291E"/>
    <w:rsid w:val="00995727"/>
    <w:rsid w:val="009A0142"/>
    <w:rsid w:val="009A3D58"/>
    <w:rsid w:val="009A64EB"/>
    <w:rsid w:val="009B12D9"/>
    <w:rsid w:val="009B1529"/>
    <w:rsid w:val="009B589D"/>
    <w:rsid w:val="009B5E55"/>
    <w:rsid w:val="009C406A"/>
    <w:rsid w:val="009C4FF6"/>
    <w:rsid w:val="009C6FA1"/>
    <w:rsid w:val="009D01DF"/>
    <w:rsid w:val="009D0BA8"/>
    <w:rsid w:val="009D1864"/>
    <w:rsid w:val="009D2A0F"/>
    <w:rsid w:val="009E7DEC"/>
    <w:rsid w:val="009F0A4E"/>
    <w:rsid w:val="009F3481"/>
    <w:rsid w:val="009F4F30"/>
    <w:rsid w:val="009F5FDE"/>
    <w:rsid w:val="00A00447"/>
    <w:rsid w:val="00A01DD9"/>
    <w:rsid w:val="00A047BC"/>
    <w:rsid w:val="00A06720"/>
    <w:rsid w:val="00A1302A"/>
    <w:rsid w:val="00A179CB"/>
    <w:rsid w:val="00A20381"/>
    <w:rsid w:val="00A2222D"/>
    <w:rsid w:val="00A26F05"/>
    <w:rsid w:val="00A32050"/>
    <w:rsid w:val="00A4014E"/>
    <w:rsid w:val="00A40554"/>
    <w:rsid w:val="00A42C37"/>
    <w:rsid w:val="00A55A23"/>
    <w:rsid w:val="00A57F3F"/>
    <w:rsid w:val="00A60B3A"/>
    <w:rsid w:val="00A64C08"/>
    <w:rsid w:val="00A67FD1"/>
    <w:rsid w:val="00A772B9"/>
    <w:rsid w:val="00A77ED1"/>
    <w:rsid w:val="00A80377"/>
    <w:rsid w:val="00A907B6"/>
    <w:rsid w:val="00A91489"/>
    <w:rsid w:val="00A91BBB"/>
    <w:rsid w:val="00A9502D"/>
    <w:rsid w:val="00AB16E1"/>
    <w:rsid w:val="00AB36E3"/>
    <w:rsid w:val="00AB642E"/>
    <w:rsid w:val="00AB7EE2"/>
    <w:rsid w:val="00AC0936"/>
    <w:rsid w:val="00AC4097"/>
    <w:rsid w:val="00AC6824"/>
    <w:rsid w:val="00AD614B"/>
    <w:rsid w:val="00AD6512"/>
    <w:rsid w:val="00AE19A1"/>
    <w:rsid w:val="00AE46B3"/>
    <w:rsid w:val="00AF2342"/>
    <w:rsid w:val="00B077F6"/>
    <w:rsid w:val="00B07EA5"/>
    <w:rsid w:val="00B15A17"/>
    <w:rsid w:val="00B178E3"/>
    <w:rsid w:val="00B2261E"/>
    <w:rsid w:val="00B23EEF"/>
    <w:rsid w:val="00B23FBC"/>
    <w:rsid w:val="00B31809"/>
    <w:rsid w:val="00B3284B"/>
    <w:rsid w:val="00B37001"/>
    <w:rsid w:val="00B7596F"/>
    <w:rsid w:val="00B81CCA"/>
    <w:rsid w:val="00B836A5"/>
    <w:rsid w:val="00B8448F"/>
    <w:rsid w:val="00B864E4"/>
    <w:rsid w:val="00BA1B16"/>
    <w:rsid w:val="00BA22F1"/>
    <w:rsid w:val="00BA3044"/>
    <w:rsid w:val="00BA5518"/>
    <w:rsid w:val="00BA7E1D"/>
    <w:rsid w:val="00BB21C1"/>
    <w:rsid w:val="00BB6CCC"/>
    <w:rsid w:val="00BC0518"/>
    <w:rsid w:val="00BC1F6A"/>
    <w:rsid w:val="00BC2C60"/>
    <w:rsid w:val="00BD3D74"/>
    <w:rsid w:val="00BE44C3"/>
    <w:rsid w:val="00BE6D86"/>
    <w:rsid w:val="00C027EE"/>
    <w:rsid w:val="00C11139"/>
    <w:rsid w:val="00C1482E"/>
    <w:rsid w:val="00C213EF"/>
    <w:rsid w:val="00C22479"/>
    <w:rsid w:val="00C22AAE"/>
    <w:rsid w:val="00C2374A"/>
    <w:rsid w:val="00C24130"/>
    <w:rsid w:val="00C30866"/>
    <w:rsid w:val="00C3285A"/>
    <w:rsid w:val="00C52B87"/>
    <w:rsid w:val="00C67C5D"/>
    <w:rsid w:val="00C71920"/>
    <w:rsid w:val="00C73E5E"/>
    <w:rsid w:val="00C74AB1"/>
    <w:rsid w:val="00C8005E"/>
    <w:rsid w:val="00C90F67"/>
    <w:rsid w:val="00C94781"/>
    <w:rsid w:val="00CA367E"/>
    <w:rsid w:val="00CC15EE"/>
    <w:rsid w:val="00CC1FF1"/>
    <w:rsid w:val="00CC5131"/>
    <w:rsid w:val="00CC7F11"/>
    <w:rsid w:val="00CD6ADA"/>
    <w:rsid w:val="00CD76D7"/>
    <w:rsid w:val="00CF09E9"/>
    <w:rsid w:val="00CF62C5"/>
    <w:rsid w:val="00D04D85"/>
    <w:rsid w:val="00D13A4F"/>
    <w:rsid w:val="00D16630"/>
    <w:rsid w:val="00D2025D"/>
    <w:rsid w:val="00D21014"/>
    <w:rsid w:val="00D213CC"/>
    <w:rsid w:val="00D225D8"/>
    <w:rsid w:val="00D22BDB"/>
    <w:rsid w:val="00D27EB7"/>
    <w:rsid w:val="00D30D01"/>
    <w:rsid w:val="00D311DB"/>
    <w:rsid w:val="00D3213D"/>
    <w:rsid w:val="00D32C37"/>
    <w:rsid w:val="00D331F6"/>
    <w:rsid w:val="00D34521"/>
    <w:rsid w:val="00D37761"/>
    <w:rsid w:val="00D404AC"/>
    <w:rsid w:val="00D456B0"/>
    <w:rsid w:val="00D472A7"/>
    <w:rsid w:val="00D612E8"/>
    <w:rsid w:val="00D61500"/>
    <w:rsid w:val="00D63C04"/>
    <w:rsid w:val="00D7384D"/>
    <w:rsid w:val="00D839DA"/>
    <w:rsid w:val="00D9742F"/>
    <w:rsid w:val="00DA4624"/>
    <w:rsid w:val="00DB37FB"/>
    <w:rsid w:val="00DC627F"/>
    <w:rsid w:val="00DD4B83"/>
    <w:rsid w:val="00DE62C4"/>
    <w:rsid w:val="00DF2915"/>
    <w:rsid w:val="00DF3CAE"/>
    <w:rsid w:val="00DF4249"/>
    <w:rsid w:val="00DF69EB"/>
    <w:rsid w:val="00E023B5"/>
    <w:rsid w:val="00E04BA6"/>
    <w:rsid w:val="00E04E33"/>
    <w:rsid w:val="00E1161F"/>
    <w:rsid w:val="00E2096B"/>
    <w:rsid w:val="00E2379A"/>
    <w:rsid w:val="00E25D9D"/>
    <w:rsid w:val="00E424C4"/>
    <w:rsid w:val="00E44054"/>
    <w:rsid w:val="00E45147"/>
    <w:rsid w:val="00E500ED"/>
    <w:rsid w:val="00E50DEC"/>
    <w:rsid w:val="00E5365B"/>
    <w:rsid w:val="00E56A39"/>
    <w:rsid w:val="00E56CBD"/>
    <w:rsid w:val="00E63067"/>
    <w:rsid w:val="00E70CD8"/>
    <w:rsid w:val="00E93CFB"/>
    <w:rsid w:val="00E971BC"/>
    <w:rsid w:val="00EA350C"/>
    <w:rsid w:val="00EA79DA"/>
    <w:rsid w:val="00EB1519"/>
    <w:rsid w:val="00EB19FE"/>
    <w:rsid w:val="00EB1A93"/>
    <w:rsid w:val="00EB3500"/>
    <w:rsid w:val="00EB45E7"/>
    <w:rsid w:val="00EC2C7E"/>
    <w:rsid w:val="00EC5EDA"/>
    <w:rsid w:val="00ED3306"/>
    <w:rsid w:val="00EE09AB"/>
    <w:rsid w:val="00EE5620"/>
    <w:rsid w:val="00EE611D"/>
    <w:rsid w:val="00EF4F9B"/>
    <w:rsid w:val="00EF7272"/>
    <w:rsid w:val="00F010B4"/>
    <w:rsid w:val="00F024AC"/>
    <w:rsid w:val="00F12D8A"/>
    <w:rsid w:val="00F15FC3"/>
    <w:rsid w:val="00F163C8"/>
    <w:rsid w:val="00F25CBA"/>
    <w:rsid w:val="00F310F5"/>
    <w:rsid w:val="00F35773"/>
    <w:rsid w:val="00F452B7"/>
    <w:rsid w:val="00F45D15"/>
    <w:rsid w:val="00F53CAE"/>
    <w:rsid w:val="00F560A7"/>
    <w:rsid w:val="00F8052C"/>
    <w:rsid w:val="00F82D6C"/>
    <w:rsid w:val="00F95E12"/>
    <w:rsid w:val="00FB24CA"/>
    <w:rsid w:val="00FB326A"/>
    <w:rsid w:val="00FC2CEF"/>
    <w:rsid w:val="00FC7C6D"/>
    <w:rsid w:val="00FD0817"/>
    <w:rsid w:val="00FE3AEA"/>
    <w:rsid w:val="00FF5BC9"/>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61B"/>
    <w:rPr>
      <w:rFonts w:ascii="Trebuchet MS" w:hAnsi="Trebuchet MS"/>
      <w:sz w:val="24"/>
      <w:szCs w:val="24"/>
      <w:lang w:val="ro-RO"/>
    </w:rPr>
  </w:style>
  <w:style w:type="paragraph" w:styleId="Heading2">
    <w:name w:val="heading 2"/>
    <w:basedOn w:val="Normal"/>
    <w:next w:val="Normal"/>
    <w:link w:val="Heading2Char"/>
    <w:uiPriority w:val="9"/>
    <w:qFormat/>
    <w:rsid w:val="002F3884"/>
    <w:pPr>
      <w:keepNext/>
      <w:tabs>
        <w:tab w:val="left" w:pos="7200"/>
      </w:tabs>
      <w:spacing w:after="0" w:line="240" w:lineRule="auto"/>
      <w:outlineLvl w:val="1"/>
    </w:pPr>
    <w:rPr>
      <w:rFonts w:ascii="Times New Roman" w:eastAsia="Times New Roman" w:hAnsi="Times New Roman"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UnresolvedMention1">
    <w:name w:val="Unresolved Mention1"/>
    <w:basedOn w:val="DefaultParagraphFont"/>
    <w:uiPriority w:val="99"/>
    <w:semiHidden/>
    <w:unhideWhenUsed/>
    <w:rsid w:val="00660381"/>
    <w:rPr>
      <w:color w:val="605E5C"/>
      <w:shd w:val="clear" w:color="auto" w:fill="E1DFDD"/>
    </w:rPr>
  </w:style>
  <w:style w:type="character" w:styleId="Strong">
    <w:name w:val="Strong"/>
    <w:basedOn w:val="DefaultParagraphFont"/>
    <w:uiPriority w:val="22"/>
    <w:qFormat/>
    <w:rsid w:val="00591925"/>
    <w:rPr>
      <w:b/>
      <w:bCs/>
    </w:rPr>
  </w:style>
  <w:style w:type="paragraph" w:styleId="BalloonText">
    <w:name w:val="Balloon Text"/>
    <w:basedOn w:val="Normal"/>
    <w:link w:val="BalloonTextChar"/>
    <w:uiPriority w:val="99"/>
    <w:semiHidden/>
    <w:unhideWhenUsed/>
    <w:rsid w:val="00A32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50"/>
    <w:rPr>
      <w:rFonts w:ascii="Segoe UI" w:hAnsi="Segoe UI" w:cs="Segoe UI"/>
      <w:sz w:val="18"/>
      <w:szCs w:val="18"/>
      <w:lang w:val="ro-RO"/>
    </w:rPr>
  </w:style>
  <w:style w:type="character" w:customStyle="1" w:styleId="panchor">
    <w:name w:val="panchor"/>
    <w:rsid w:val="009B12D9"/>
  </w:style>
  <w:style w:type="paragraph" w:styleId="ListParagraph">
    <w:name w:val="List Paragraph"/>
    <w:aliases w:val="References,Numbered List Paragraph,Numbered Paragraph,Main numbered paragraph,List_Paragraph,Multilevel para_II,List Paragraph1"/>
    <w:basedOn w:val="Normal"/>
    <w:link w:val="ListParagraphChar"/>
    <w:uiPriority w:val="34"/>
    <w:qFormat/>
    <w:rsid w:val="00162457"/>
    <w:pPr>
      <w:ind w:left="720"/>
      <w:contextualSpacing/>
    </w:pPr>
  </w:style>
  <w:style w:type="character" w:customStyle="1" w:styleId="slitbdy">
    <w:name w:val="s_lit_bdy"/>
    <w:basedOn w:val="DefaultParagraphFont"/>
    <w:rsid w:val="00EC2C7E"/>
  </w:style>
  <w:style w:type="paragraph" w:styleId="Subtitle">
    <w:name w:val="Subtitle"/>
    <w:basedOn w:val="Normal"/>
    <w:link w:val="SubtitleChar"/>
    <w:qFormat/>
    <w:rsid w:val="007C072E"/>
    <w:pPr>
      <w:spacing w:after="0" w:line="240" w:lineRule="auto"/>
      <w:jc w:val="both"/>
    </w:pPr>
    <w:rPr>
      <w:rFonts w:ascii="Calibri" w:eastAsia="Times New Roman" w:hAnsi="Calibri" w:cs="Times New Roman"/>
      <w:b/>
      <w:sz w:val="28"/>
    </w:rPr>
  </w:style>
  <w:style w:type="character" w:customStyle="1" w:styleId="SubtitleChar">
    <w:name w:val="Subtitle Char"/>
    <w:basedOn w:val="DefaultParagraphFont"/>
    <w:link w:val="Subtitle"/>
    <w:rsid w:val="007C072E"/>
    <w:rPr>
      <w:rFonts w:ascii="Calibri" w:eastAsia="Times New Roman" w:hAnsi="Calibri" w:cs="Times New Roman"/>
      <w:b/>
      <w:sz w:val="28"/>
      <w:szCs w:val="24"/>
      <w:lang w:val="ro-RO"/>
    </w:rPr>
  </w:style>
  <w:style w:type="character" w:customStyle="1" w:styleId="Heading2Char">
    <w:name w:val="Heading 2 Char"/>
    <w:basedOn w:val="DefaultParagraphFont"/>
    <w:link w:val="Heading2"/>
    <w:uiPriority w:val="9"/>
    <w:rsid w:val="002F3884"/>
    <w:rPr>
      <w:rFonts w:ascii="Times New Roman" w:eastAsia="Times New Roman" w:hAnsi="Times New Roman" w:cs="Times New Roman"/>
      <w:b/>
      <w:bCs/>
      <w:sz w:val="24"/>
      <w:szCs w:val="24"/>
      <w:lang w:val="x-none" w:eastAsia="x-none"/>
    </w:rPr>
  </w:style>
  <w:style w:type="paragraph" w:styleId="Title">
    <w:name w:val="Title"/>
    <w:basedOn w:val="Normal"/>
    <w:link w:val="TitleChar"/>
    <w:qFormat/>
    <w:rsid w:val="002F3884"/>
    <w:pPr>
      <w:spacing w:after="0" w:line="240" w:lineRule="auto"/>
      <w:jc w:val="center"/>
    </w:pPr>
    <w:rPr>
      <w:rFonts w:ascii="Times New Roman" w:eastAsia="Times New Roman" w:hAnsi="Times New Roman" w:cs="Times New Roman"/>
      <w:b/>
      <w:bCs/>
      <w:lang w:val="en-US"/>
    </w:rPr>
  </w:style>
  <w:style w:type="character" w:customStyle="1" w:styleId="TitleChar">
    <w:name w:val="Title Char"/>
    <w:basedOn w:val="DefaultParagraphFont"/>
    <w:link w:val="Title"/>
    <w:rsid w:val="002F388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F3884"/>
    <w:pPr>
      <w:spacing w:after="120" w:line="240" w:lineRule="auto"/>
      <w:ind w:left="283"/>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2F3884"/>
    <w:rPr>
      <w:rFonts w:ascii="Times New Roman" w:eastAsia="Times New Roman" w:hAnsi="Times New Roman" w:cs="Times New Roman"/>
      <w:sz w:val="24"/>
      <w:szCs w:val="24"/>
    </w:rPr>
  </w:style>
  <w:style w:type="character" w:customStyle="1" w:styleId="rvts2">
    <w:name w:val="rvts2"/>
    <w:basedOn w:val="DefaultParagraphFont"/>
    <w:rsid w:val="002F3884"/>
  </w:style>
  <w:style w:type="character" w:customStyle="1" w:styleId="ListParagraphChar">
    <w:name w:val="List Paragraph Char"/>
    <w:aliases w:val="References Char,Numbered List Paragraph Char,Numbered Paragraph Char,Main numbered paragraph Char,List_Paragraph Char,Multilevel para_II Char,List Paragraph1 Char"/>
    <w:basedOn w:val="DefaultParagraphFont"/>
    <w:link w:val="ListParagraph"/>
    <w:uiPriority w:val="34"/>
    <w:locked/>
    <w:rsid w:val="00353E02"/>
    <w:rPr>
      <w:rFonts w:ascii="Trebuchet MS" w:hAnsi="Trebuchet MS"/>
      <w:sz w:val="24"/>
      <w:szCs w:val="24"/>
      <w:lang w:val="ro-RO"/>
    </w:rPr>
  </w:style>
  <w:style w:type="character" w:customStyle="1" w:styleId="rvts6">
    <w:name w:val="rvts6"/>
    <w:basedOn w:val="DefaultParagraphFont"/>
    <w:rsid w:val="00353E02"/>
  </w:style>
  <w:style w:type="paragraph" w:styleId="BodyText">
    <w:name w:val="Body Text"/>
    <w:basedOn w:val="Normal"/>
    <w:link w:val="BodyTextChar"/>
    <w:uiPriority w:val="99"/>
    <w:unhideWhenUsed/>
    <w:rsid w:val="00D63C04"/>
    <w:pPr>
      <w:spacing w:after="120"/>
    </w:pPr>
  </w:style>
  <w:style w:type="character" w:customStyle="1" w:styleId="BodyTextChar">
    <w:name w:val="Body Text Char"/>
    <w:basedOn w:val="DefaultParagraphFont"/>
    <w:link w:val="BodyText"/>
    <w:uiPriority w:val="99"/>
    <w:rsid w:val="00D63C04"/>
    <w:rPr>
      <w:rFonts w:ascii="Trebuchet MS" w:hAnsi="Trebuchet MS"/>
      <w:sz w:val="24"/>
      <w:szCs w:val="24"/>
      <w:lang w:val="ro-RO"/>
    </w:rPr>
  </w:style>
  <w:style w:type="character" w:customStyle="1" w:styleId="rvts8">
    <w:name w:val="rvts8"/>
    <w:rsid w:val="00D63C04"/>
  </w:style>
  <w:style w:type="character" w:customStyle="1" w:styleId="spctbdy">
    <w:name w:val="s_pct_bdy"/>
    <w:rsid w:val="005A5C85"/>
  </w:style>
  <w:style w:type="character" w:customStyle="1" w:styleId="spar">
    <w:name w:val="s_par"/>
    <w:rsid w:val="005A5C85"/>
  </w:style>
  <w:style w:type="character" w:styleId="FollowedHyperlink">
    <w:name w:val="FollowedHyperlink"/>
    <w:basedOn w:val="DefaultParagraphFont"/>
    <w:uiPriority w:val="99"/>
    <w:semiHidden/>
    <w:unhideWhenUsed/>
    <w:rsid w:val="00431DF2"/>
    <w:rPr>
      <w:color w:val="954F72" w:themeColor="followedHyperlink"/>
      <w:u w:val="single"/>
    </w:rPr>
  </w:style>
  <w:style w:type="character" w:customStyle="1" w:styleId="rvts13">
    <w:name w:val="rvts13"/>
    <w:basedOn w:val="DefaultParagraphFont"/>
    <w:rsid w:val="009C6FA1"/>
  </w:style>
  <w:style w:type="character" w:customStyle="1" w:styleId="salnbdy">
    <w:name w:val="s_aln_bdy"/>
    <w:rsid w:val="00B81CCA"/>
  </w:style>
  <w:style w:type="character" w:customStyle="1" w:styleId="slgi">
    <w:name w:val="s_lgi"/>
    <w:rsid w:val="00B8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2426">
      <w:bodyDiv w:val="1"/>
      <w:marLeft w:val="0"/>
      <w:marRight w:val="0"/>
      <w:marTop w:val="0"/>
      <w:marBottom w:val="0"/>
      <w:divBdr>
        <w:top w:val="none" w:sz="0" w:space="0" w:color="auto"/>
        <w:left w:val="none" w:sz="0" w:space="0" w:color="auto"/>
        <w:bottom w:val="none" w:sz="0" w:space="0" w:color="auto"/>
        <w:right w:val="none" w:sz="0" w:space="0" w:color="auto"/>
      </w:divBdr>
    </w:div>
    <w:div w:id="30426721">
      <w:bodyDiv w:val="1"/>
      <w:marLeft w:val="0"/>
      <w:marRight w:val="0"/>
      <w:marTop w:val="0"/>
      <w:marBottom w:val="0"/>
      <w:divBdr>
        <w:top w:val="none" w:sz="0" w:space="0" w:color="auto"/>
        <w:left w:val="none" w:sz="0" w:space="0" w:color="auto"/>
        <w:bottom w:val="none" w:sz="0" w:space="0" w:color="auto"/>
        <w:right w:val="none" w:sz="0" w:space="0" w:color="auto"/>
      </w:divBdr>
    </w:div>
    <w:div w:id="93981127">
      <w:bodyDiv w:val="1"/>
      <w:marLeft w:val="0"/>
      <w:marRight w:val="0"/>
      <w:marTop w:val="0"/>
      <w:marBottom w:val="0"/>
      <w:divBdr>
        <w:top w:val="none" w:sz="0" w:space="0" w:color="auto"/>
        <w:left w:val="none" w:sz="0" w:space="0" w:color="auto"/>
        <w:bottom w:val="none" w:sz="0" w:space="0" w:color="auto"/>
        <w:right w:val="none" w:sz="0" w:space="0" w:color="auto"/>
      </w:divBdr>
    </w:div>
    <w:div w:id="299968608">
      <w:bodyDiv w:val="1"/>
      <w:marLeft w:val="0"/>
      <w:marRight w:val="0"/>
      <w:marTop w:val="0"/>
      <w:marBottom w:val="0"/>
      <w:divBdr>
        <w:top w:val="none" w:sz="0" w:space="0" w:color="auto"/>
        <w:left w:val="none" w:sz="0" w:space="0" w:color="auto"/>
        <w:bottom w:val="none" w:sz="0" w:space="0" w:color="auto"/>
        <w:right w:val="none" w:sz="0" w:space="0" w:color="auto"/>
      </w:divBdr>
    </w:div>
    <w:div w:id="308024949">
      <w:bodyDiv w:val="1"/>
      <w:marLeft w:val="0"/>
      <w:marRight w:val="0"/>
      <w:marTop w:val="0"/>
      <w:marBottom w:val="0"/>
      <w:divBdr>
        <w:top w:val="none" w:sz="0" w:space="0" w:color="auto"/>
        <w:left w:val="none" w:sz="0" w:space="0" w:color="auto"/>
        <w:bottom w:val="none" w:sz="0" w:space="0" w:color="auto"/>
        <w:right w:val="none" w:sz="0" w:space="0" w:color="auto"/>
      </w:divBdr>
    </w:div>
    <w:div w:id="443766259">
      <w:bodyDiv w:val="1"/>
      <w:marLeft w:val="0"/>
      <w:marRight w:val="0"/>
      <w:marTop w:val="0"/>
      <w:marBottom w:val="0"/>
      <w:divBdr>
        <w:top w:val="none" w:sz="0" w:space="0" w:color="auto"/>
        <w:left w:val="none" w:sz="0" w:space="0" w:color="auto"/>
        <w:bottom w:val="none" w:sz="0" w:space="0" w:color="auto"/>
        <w:right w:val="none" w:sz="0" w:space="0" w:color="auto"/>
      </w:divBdr>
    </w:div>
    <w:div w:id="485703529">
      <w:bodyDiv w:val="1"/>
      <w:marLeft w:val="0"/>
      <w:marRight w:val="0"/>
      <w:marTop w:val="0"/>
      <w:marBottom w:val="0"/>
      <w:divBdr>
        <w:top w:val="none" w:sz="0" w:space="0" w:color="auto"/>
        <w:left w:val="none" w:sz="0" w:space="0" w:color="auto"/>
        <w:bottom w:val="none" w:sz="0" w:space="0" w:color="auto"/>
        <w:right w:val="none" w:sz="0" w:space="0" w:color="auto"/>
      </w:divBdr>
    </w:div>
    <w:div w:id="772474312">
      <w:bodyDiv w:val="1"/>
      <w:marLeft w:val="0"/>
      <w:marRight w:val="0"/>
      <w:marTop w:val="0"/>
      <w:marBottom w:val="0"/>
      <w:divBdr>
        <w:top w:val="none" w:sz="0" w:space="0" w:color="auto"/>
        <w:left w:val="none" w:sz="0" w:space="0" w:color="auto"/>
        <w:bottom w:val="none" w:sz="0" w:space="0" w:color="auto"/>
        <w:right w:val="none" w:sz="0" w:space="0" w:color="auto"/>
      </w:divBdr>
    </w:div>
    <w:div w:id="869803927">
      <w:bodyDiv w:val="1"/>
      <w:marLeft w:val="0"/>
      <w:marRight w:val="0"/>
      <w:marTop w:val="0"/>
      <w:marBottom w:val="0"/>
      <w:divBdr>
        <w:top w:val="none" w:sz="0" w:space="0" w:color="auto"/>
        <w:left w:val="none" w:sz="0" w:space="0" w:color="auto"/>
        <w:bottom w:val="none" w:sz="0" w:space="0" w:color="auto"/>
        <w:right w:val="none" w:sz="0" w:space="0" w:color="auto"/>
      </w:divBdr>
    </w:div>
    <w:div w:id="909463466">
      <w:bodyDiv w:val="1"/>
      <w:marLeft w:val="0"/>
      <w:marRight w:val="0"/>
      <w:marTop w:val="0"/>
      <w:marBottom w:val="0"/>
      <w:divBdr>
        <w:top w:val="none" w:sz="0" w:space="0" w:color="auto"/>
        <w:left w:val="none" w:sz="0" w:space="0" w:color="auto"/>
        <w:bottom w:val="none" w:sz="0" w:space="0" w:color="auto"/>
        <w:right w:val="none" w:sz="0" w:space="0" w:color="auto"/>
      </w:divBdr>
    </w:div>
    <w:div w:id="1053239004">
      <w:bodyDiv w:val="1"/>
      <w:marLeft w:val="0"/>
      <w:marRight w:val="0"/>
      <w:marTop w:val="0"/>
      <w:marBottom w:val="0"/>
      <w:divBdr>
        <w:top w:val="none" w:sz="0" w:space="0" w:color="auto"/>
        <w:left w:val="none" w:sz="0" w:space="0" w:color="auto"/>
        <w:bottom w:val="none" w:sz="0" w:space="0" w:color="auto"/>
        <w:right w:val="none" w:sz="0" w:space="0" w:color="auto"/>
      </w:divBdr>
    </w:div>
    <w:div w:id="1070619523">
      <w:bodyDiv w:val="1"/>
      <w:marLeft w:val="0"/>
      <w:marRight w:val="0"/>
      <w:marTop w:val="0"/>
      <w:marBottom w:val="0"/>
      <w:divBdr>
        <w:top w:val="none" w:sz="0" w:space="0" w:color="auto"/>
        <w:left w:val="none" w:sz="0" w:space="0" w:color="auto"/>
        <w:bottom w:val="none" w:sz="0" w:space="0" w:color="auto"/>
        <w:right w:val="none" w:sz="0" w:space="0" w:color="auto"/>
      </w:divBdr>
    </w:div>
    <w:div w:id="1104229367">
      <w:bodyDiv w:val="1"/>
      <w:marLeft w:val="0"/>
      <w:marRight w:val="0"/>
      <w:marTop w:val="0"/>
      <w:marBottom w:val="0"/>
      <w:divBdr>
        <w:top w:val="none" w:sz="0" w:space="0" w:color="auto"/>
        <w:left w:val="none" w:sz="0" w:space="0" w:color="auto"/>
        <w:bottom w:val="none" w:sz="0" w:space="0" w:color="auto"/>
        <w:right w:val="none" w:sz="0" w:space="0" w:color="auto"/>
      </w:divBdr>
    </w:div>
    <w:div w:id="1212771591">
      <w:bodyDiv w:val="1"/>
      <w:marLeft w:val="0"/>
      <w:marRight w:val="0"/>
      <w:marTop w:val="0"/>
      <w:marBottom w:val="0"/>
      <w:divBdr>
        <w:top w:val="none" w:sz="0" w:space="0" w:color="auto"/>
        <w:left w:val="none" w:sz="0" w:space="0" w:color="auto"/>
        <w:bottom w:val="none" w:sz="0" w:space="0" w:color="auto"/>
        <w:right w:val="none" w:sz="0" w:space="0" w:color="auto"/>
      </w:divBdr>
    </w:div>
    <w:div w:id="1380979360">
      <w:bodyDiv w:val="1"/>
      <w:marLeft w:val="0"/>
      <w:marRight w:val="0"/>
      <w:marTop w:val="0"/>
      <w:marBottom w:val="0"/>
      <w:divBdr>
        <w:top w:val="none" w:sz="0" w:space="0" w:color="auto"/>
        <w:left w:val="none" w:sz="0" w:space="0" w:color="auto"/>
        <w:bottom w:val="none" w:sz="0" w:space="0" w:color="auto"/>
        <w:right w:val="none" w:sz="0" w:space="0" w:color="auto"/>
      </w:divBdr>
    </w:div>
    <w:div w:id="1418403731">
      <w:bodyDiv w:val="1"/>
      <w:marLeft w:val="0"/>
      <w:marRight w:val="0"/>
      <w:marTop w:val="0"/>
      <w:marBottom w:val="0"/>
      <w:divBdr>
        <w:top w:val="none" w:sz="0" w:space="0" w:color="auto"/>
        <w:left w:val="none" w:sz="0" w:space="0" w:color="auto"/>
        <w:bottom w:val="none" w:sz="0" w:space="0" w:color="auto"/>
        <w:right w:val="none" w:sz="0" w:space="0" w:color="auto"/>
      </w:divBdr>
    </w:div>
    <w:div w:id="1434594941">
      <w:bodyDiv w:val="1"/>
      <w:marLeft w:val="0"/>
      <w:marRight w:val="0"/>
      <w:marTop w:val="0"/>
      <w:marBottom w:val="0"/>
      <w:divBdr>
        <w:top w:val="none" w:sz="0" w:space="0" w:color="auto"/>
        <w:left w:val="none" w:sz="0" w:space="0" w:color="auto"/>
        <w:bottom w:val="none" w:sz="0" w:space="0" w:color="auto"/>
        <w:right w:val="none" w:sz="0" w:space="0" w:color="auto"/>
      </w:divBdr>
    </w:div>
    <w:div w:id="1482115517">
      <w:bodyDiv w:val="1"/>
      <w:marLeft w:val="0"/>
      <w:marRight w:val="0"/>
      <w:marTop w:val="0"/>
      <w:marBottom w:val="0"/>
      <w:divBdr>
        <w:top w:val="none" w:sz="0" w:space="0" w:color="auto"/>
        <w:left w:val="none" w:sz="0" w:space="0" w:color="auto"/>
        <w:bottom w:val="none" w:sz="0" w:space="0" w:color="auto"/>
        <w:right w:val="none" w:sz="0" w:space="0" w:color="auto"/>
      </w:divBdr>
    </w:div>
    <w:div w:id="1557818298">
      <w:bodyDiv w:val="1"/>
      <w:marLeft w:val="0"/>
      <w:marRight w:val="0"/>
      <w:marTop w:val="0"/>
      <w:marBottom w:val="0"/>
      <w:divBdr>
        <w:top w:val="none" w:sz="0" w:space="0" w:color="auto"/>
        <w:left w:val="none" w:sz="0" w:space="0" w:color="auto"/>
        <w:bottom w:val="none" w:sz="0" w:space="0" w:color="auto"/>
        <w:right w:val="none" w:sz="0" w:space="0" w:color="auto"/>
      </w:divBdr>
    </w:div>
    <w:div w:id="1583220134">
      <w:bodyDiv w:val="1"/>
      <w:marLeft w:val="0"/>
      <w:marRight w:val="0"/>
      <w:marTop w:val="0"/>
      <w:marBottom w:val="0"/>
      <w:divBdr>
        <w:top w:val="none" w:sz="0" w:space="0" w:color="auto"/>
        <w:left w:val="none" w:sz="0" w:space="0" w:color="auto"/>
        <w:bottom w:val="none" w:sz="0" w:space="0" w:color="auto"/>
        <w:right w:val="none" w:sz="0" w:space="0" w:color="auto"/>
      </w:divBdr>
    </w:div>
    <w:div w:id="19199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7CF0-B369-4CAE-988E-CC5048C0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2447</Words>
  <Characters>14195</Characters>
  <Application>Microsoft Office Word</Application>
  <DocSecurity>0</DocSecurity>
  <Lines>118</Lines>
  <Paragraphs>33</Paragraphs>
  <ScaleCrop>false</ScaleCrop>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2021-09-15T19:11:00Z</dcterms:created>
  <dcterms:modified xsi:type="dcterms:W3CDTF">2021-09-15T19:11:00Z</dcterms:modified>
</cp:coreProperties>
</file>